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990A" w14:textId="128416A6" w:rsidR="005D05A6" w:rsidRPr="004D0354" w:rsidRDefault="005D05A6" w:rsidP="004D0354">
      <w:pPr>
        <w:pStyle w:val="Heading2"/>
      </w:pPr>
      <w:r w:rsidRPr="004D0354">
        <w:t xml:space="preserve">Indicator 5.1: Inclusive </w:t>
      </w:r>
      <w:r w:rsidR="000927A6" w:rsidRPr="004D0354">
        <w:t>law-making, oversight and budgeting</w:t>
      </w:r>
    </w:p>
    <w:p w14:paraId="224137B2" w14:textId="3CB68EE2" w:rsidR="00D90297" w:rsidRPr="004D0354" w:rsidRDefault="00D90297" w:rsidP="00677367">
      <w:pPr>
        <w:pStyle w:val="section-title"/>
      </w:pPr>
      <w:r w:rsidRPr="004D0354">
        <w:t>About this indicator</w:t>
      </w:r>
    </w:p>
    <w:p w14:paraId="3BAFCDCE" w14:textId="258BEC9F" w:rsidR="005D05A6" w:rsidRPr="004D0354" w:rsidRDefault="005F5FFF" w:rsidP="005D05A6">
      <w:pPr>
        <w:spacing w:line="276" w:lineRule="auto"/>
        <w:rPr>
          <w:rFonts w:eastAsia="Arial" w:cs="Arial"/>
          <w:szCs w:val="20"/>
        </w:rPr>
      </w:pPr>
      <w:r w:rsidRPr="004D0354">
        <w:t xml:space="preserve">In its law-making, oversight and budgeting functions, parliament should reflect the </w:t>
      </w:r>
      <w:r w:rsidR="00EA5DBE" w:rsidRPr="004D0354">
        <w:t xml:space="preserve">diverse </w:t>
      </w:r>
      <w:r w:rsidRPr="004D0354">
        <w:t>interests of the people it serves</w:t>
      </w:r>
      <w:r w:rsidR="005D05A6" w:rsidRPr="004D0354">
        <w:t xml:space="preserve">. Inclusive parliamentary practices strengthen democracy, promote </w:t>
      </w:r>
      <w:proofErr w:type="gramStart"/>
      <w:r w:rsidR="005D05A6" w:rsidRPr="004D0354">
        <w:t>integration</w:t>
      </w:r>
      <w:proofErr w:type="gramEnd"/>
      <w:r w:rsidR="005D05A6" w:rsidRPr="004D0354">
        <w:t xml:space="preserve"> and prevent conflicts. </w:t>
      </w:r>
    </w:p>
    <w:p w14:paraId="62772203" w14:textId="77777777" w:rsidR="005D05A6" w:rsidRPr="004D0354" w:rsidRDefault="005D05A6" w:rsidP="005D05A6">
      <w:pPr>
        <w:spacing w:line="276" w:lineRule="auto"/>
        <w:rPr>
          <w:rFonts w:eastAsia="Arial" w:cs="Arial"/>
          <w:szCs w:val="20"/>
        </w:rPr>
      </w:pPr>
    </w:p>
    <w:p w14:paraId="0F60C68D" w14:textId="3EDD062B" w:rsidR="005D05A6" w:rsidRPr="004D0354" w:rsidRDefault="005D05A6" w:rsidP="005D05A6">
      <w:pPr>
        <w:spacing w:line="276" w:lineRule="auto"/>
        <w:rPr>
          <w:rFonts w:eastAsia="Arial" w:cs="Arial"/>
          <w:szCs w:val="20"/>
        </w:rPr>
      </w:pPr>
      <w:r w:rsidRPr="004D0354">
        <w:t>Parliament</w:t>
      </w:r>
      <w:r w:rsidR="005F5FFF" w:rsidRPr="004D0354">
        <w:t xml:space="preserve"> can</w:t>
      </w:r>
      <w:r w:rsidRPr="004D0354">
        <w:t xml:space="preserve"> ensure </w:t>
      </w:r>
      <w:r w:rsidR="005F5FFF" w:rsidRPr="004D0354">
        <w:t xml:space="preserve">its working practices are inclusive </w:t>
      </w:r>
      <w:r w:rsidRPr="004D0354">
        <w:t>through a range of mechanisms</w:t>
      </w:r>
      <w:r w:rsidR="005F5FFF" w:rsidRPr="004D0354">
        <w:t>, including</w:t>
      </w:r>
      <w:r w:rsidRPr="004D0354">
        <w:t xml:space="preserve"> protecti</w:t>
      </w:r>
      <w:r w:rsidR="005F5FFF" w:rsidRPr="004D0354">
        <w:t>ng</w:t>
      </w:r>
      <w:r w:rsidRPr="004D0354">
        <w:t xml:space="preserve"> and promoti</w:t>
      </w:r>
      <w:r w:rsidR="005F5FFF" w:rsidRPr="004D0354">
        <w:t>ng</w:t>
      </w:r>
      <w:r w:rsidRPr="004D0354">
        <w:t xml:space="preserve"> human rights in the </w:t>
      </w:r>
      <w:r w:rsidR="005F5FFF" w:rsidRPr="004D0354">
        <w:t xml:space="preserve">law-making </w:t>
      </w:r>
      <w:r w:rsidRPr="004D0354">
        <w:t>process and in society</w:t>
      </w:r>
      <w:r w:rsidR="005F5FFF" w:rsidRPr="004D0354">
        <w:t>,</w:t>
      </w:r>
      <w:r w:rsidRPr="004D0354">
        <w:t xml:space="preserve"> consider</w:t>
      </w:r>
      <w:r w:rsidR="005F5FFF" w:rsidRPr="004D0354">
        <w:t xml:space="preserve">ing </w:t>
      </w:r>
      <w:r w:rsidRPr="004D0354">
        <w:t>the effects of parliamentary work on men and women</w:t>
      </w:r>
      <w:r w:rsidR="005F5FFF" w:rsidRPr="004D0354">
        <w:t>, and</w:t>
      </w:r>
      <w:r w:rsidRPr="004D0354">
        <w:t xml:space="preserve"> bringing the perspectives of young people into parliament. </w:t>
      </w:r>
    </w:p>
    <w:p w14:paraId="5370A3D1" w14:textId="77777777" w:rsidR="005D05A6" w:rsidRPr="004D0354" w:rsidRDefault="005D05A6" w:rsidP="005D05A6">
      <w:pPr>
        <w:spacing w:line="276" w:lineRule="auto"/>
        <w:rPr>
          <w:rFonts w:eastAsia="Arial" w:cs="Arial"/>
          <w:szCs w:val="20"/>
        </w:rPr>
      </w:pPr>
    </w:p>
    <w:p w14:paraId="23495EB9" w14:textId="3ED70129" w:rsidR="005D05A6" w:rsidRPr="004D0354" w:rsidRDefault="009F2D1F" w:rsidP="005D05A6">
      <w:pPr>
        <w:spacing w:line="276" w:lineRule="auto"/>
        <w:rPr>
          <w:rFonts w:eastAsia="Arial" w:cs="Arial"/>
          <w:szCs w:val="20"/>
        </w:rPr>
      </w:pPr>
      <w:r w:rsidRPr="004D0354">
        <w:t>This indicator</w:t>
      </w:r>
      <w:r w:rsidR="005D05A6" w:rsidRPr="004D0354">
        <w:t xml:space="preserve"> comprises the following dimensions:</w:t>
      </w:r>
    </w:p>
    <w:p w14:paraId="0FCE30F3" w14:textId="77777777" w:rsidR="00A1060F" w:rsidRPr="004D0354" w:rsidRDefault="00A1060F" w:rsidP="005D05A6">
      <w:pPr>
        <w:spacing w:line="276" w:lineRule="auto"/>
        <w:rPr>
          <w:rFonts w:eastAsia="Arial" w:cs="Arial"/>
          <w:szCs w:val="20"/>
        </w:rPr>
      </w:pPr>
    </w:p>
    <w:p w14:paraId="5977D185" w14:textId="514C3D56" w:rsidR="008B5588" w:rsidRPr="004D0354" w:rsidRDefault="009F2D1F" w:rsidP="00A1060F">
      <w:pPr>
        <w:numPr>
          <w:ilvl w:val="0"/>
          <w:numId w:val="3"/>
        </w:numPr>
        <w:pBdr>
          <w:top w:val="nil"/>
          <w:left w:val="nil"/>
          <w:bottom w:val="nil"/>
          <w:right w:val="nil"/>
          <w:between w:val="nil"/>
        </w:pBdr>
        <w:ind w:left="562" w:hanging="562"/>
        <w:contextualSpacing/>
        <w:rPr>
          <w:rFonts w:eastAsia="Arial" w:cs="Arial"/>
          <w:color w:val="000000"/>
          <w:szCs w:val="20"/>
        </w:rPr>
      </w:pPr>
      <w:r w:rsidRPr="004D0354">
        <w:rPr>
          <w:color w:val="000000"/>
        </w:rPr>
        <w:t xml:space="preserve">Dimension </w:t>
      </w:r>
      <w:r w:rsidR="00A1060F" w:rsidRPr="004D0354">
        <w:rPr>
          <w:color w:val="000000"/>
        </w:rPr>
        <w:t>5.1.</w:t>
      </w:r>
      <w:r w:rsidR="00A1060F" w:rsidRPr="004D0354">
        <w:t>1</w:t>
      </w:r>
      <w:r w:rsidRPr="004D0354">
        <w:t>:</w:t>
      </w:r>
      <w:r w:rsidR="00A1060F" w:rsidRPr="004D0354">
        <w:rPr>
          <w:color w:val="000000"/>
        </w:rPr>
        <w:t xml:space="preserve"> Human rights</w:t>
      </w:r>
    </w:p>
    <w:p w14:paraId="279533A2" w14:textId="77777777" w:rsidR="008B5588" w:rsidRPr="004D0354" w:rsidRDefault="008B5588" w:rsidP="008B5588">
      <w:pPr>
        <w:pBdr>
          <w:top w:val="nil"/>
          <w:left w:val="nil"/>
          <w:bottom w:val="nil"/>
          <w:right w:val="nil"/>
          <w:between w:val="nil"/>
        </w:pBdr>
        <w:ind w:left="562"/>
        <w:contextualSpacing/>
        <w:rPr>
          <w:rFonts w:eastAsia="Arial" w:cs="Arial"/>
          <w:color w:val="000000"/>
          <w:szCs w:val="20"/>
        </w:rPr>
      </w:pPr>
    </w:p>
    <w:p w14:paraId="3747266F" w14:textId="0A988D16" w:rsidR="00A1060F" w:rsidRPr="004D0354" w:rsidRDefault="009F2D1F" w:rsidP="00A1060F">
      <w:pPr>
        <w:numPr>
          <w:ilvl w:val="0"/>
          <w:numId w:val="3"/>
        </w:numPr>
        <w:pBdr>
          <w:top w:val="nil"/>
          <w:left w:val="nil"/>
          <w:bottom w:val="nil"/>
          <w:right w:val="nil"/>
          <w:between w:val="nil"/>
        </w:pBdr>
        <w:ind w:left="562" w:hanging="562"/>
        <w:contextualSpacing/>
        <w:rPr>
          <w:rFonts w:eastAsia="Arial" w:cs="Arial"/>
          <w:color w:val="000000"/>
          <w:szCs w:val="20"/>
        </w:rPr>
      </w:pPr>
      <w:r w:rsidRPr="004D0354">
        <w:rPr>
          <w:color w:val="000000"/>
        </w:rPr>
        <w:t xml:space="preserve">Dimension </w:t>
      </w:r>
      <w:r w:rsidR="008B5588" w:rsidRPr="004D0354">
        <w:rPr>
          <w:color w:val="000000"/>
        </w:rPr>
        <w:t>5.1.2</w:t>
      </w:r>
      <w:r w:rsidRPr="004D0354">
        <w:rPr>
          <w:color w:val="000000"/>
        </w:rPr>
        <w:t>:</w:t>
      </w:r>
      <w:r w:rsidR="008B5588" w:rsidRPr="004D0354">
        <w:rPr>
          <w:color w:val="000000"/>
        </w:rPr>
        <w:t xml:space="preserve"> Impact assessments</w:t>
      </w:r>
    </w:p>
    <w:p w14:paraId="439CB4C6" w14:textId="77777777" w:rsidR="00A1060F" w:rsidRPr="004D0354" w:rsidRDefault="00A1060F" w:rsidP="00A1060F">
      <w:pPr>
        <w:pBdr>
          <w:top w:val="nil"/>
          <w:left w:val="nil"/>
          <w:bottom w:val="nil"/>
          <w:right w:val="nil"/>
          <w:between w:val="nil"/>
        </w:pBdr>
        <w:ind w:left="562"/>
        <w:contextualSpacing/>
        <w:rPr>
          <w:rFonts w:eastAsia="Arial" w:cs="Arial"/>
          <w:color w:val="000000"/>
          <w:szCs w:val="20"/>
        </w:rPr>
      </w:pPr>
    </w:p>
    <w:p w14:paraId="3F9A49B7" w14:textId="29C23F74" w:rsidR="00A1060F" w:rsidRPr="004D0354" w:rsidRDefault="009F2D1F" w:rsidP="00A1060F">
      <w:pPr>
        <w:numPr>
          <w:ilvl w:val="0"/>
          <w:numId w:val="3"/>
        </w:numPr>
        <w:pBdr>
          <w:top w:val="nil"/>
          <w:left w:val="nil"/>
          <w:bottom w:val="nil"/>
          <w:right w:val="nil"/>
          <w:between w:val="nil"/>
        </w:pBdr>
        <w:ind w:left="562" w:hanging="562"/>
        <w:contextualSpacing/>
        <w:rPr>
          <w:rFonts w:eastAsia="Arial" w:cs="Arial"/>
          <w:color w:val="000000"/>
          <w:szCs w:val="20"/>
        </w:rPr>
      </w:pPr>
      <w:r w:rsidRPr="004D0354">
        <w:rPr>
          <w:color w:val="000000"/>
        </w:rPr>
        <w:t xml:space="preserve">Dimension </w:t>
      </w:r>
      <w:r w:rsidR="00A1060F" w:rsidRPr="004D0354">
        <w:rPr>
          <w:color w:val="000000"/>
        </w:rPr>
        <w:t>5.1.</w:t>
      </w:r>
      <w:r w:rsidR="00A1060F" w:rsidRPr="004D0354">
        <w:t>3</w:t>
      </w:r>
      <w:r w:rsidRPr="004D0354">
        <w:t>:</w:t>
      </w:r>
      <w:r w:rsidR="00A1060F" w:rsidRPr="004D0354">
        <w:rPr>
          <w:color w:val="000000"/>
        </w:rPr>
        <w:t xml:space="preserve"> Gender mainstreaming</w:t>
      </w:r>
    </w:p>
    <w:p w14:paraId="6DCFE472" w14:textId="77777777" w:rsidR="00A1060F" w:rsidRPr="004D0354" w:rsidRDefault="00A1060F" w:rsidP="00A1060F">
      <w:pPr>
        <w:pBdr>
          <w:top w:val="nil"/>
          <w:left w:val="nil"/>
          <w:bottom w:val="nil"/>
          <w:right w:val="nil"/>
          <w:between w:val="nil"/>
        </w:pBdr>
        <w:ind w:left="562"/>
        <w:contextualSpacing/>
        <w:rPr>
          <w:rFonts w:eastAsia="Arial" w:cs="Arial"/>
          <w:color w:val="000000"/>
          <w:szCs w:val="20"/>
        </w:rPr>
      </w:pPr>
    </w:p>
    <w:p w14:paraId="1D0ABFB5" w14:textId="0BE901DA" w:rsidR="00A1060F" w:rsidRPr="004D0354" w:rsidRDefault="009F2D1F" w:rsidP="00A1060F">
      <w:pPr>
        <w:numPr>
          <w:ilvl w:val="0"/>
          <w:numId w:val="3"/>
        </w:numPr>
        <w:pBdr>
          <w:top w:val="nil"/>
          <w:left w:val="nil"/>
          <w:bottom w:val="nil"/>
          <w:right w:val="nil"/>
          <w:between w:val="nil"/>
        </w:pBdr>
        <w:ind w:left="562" w:hanging="562"/>
        <w:contextualSpacing/>
        <w:rPr>
          <w:rFonts w:eastAsia="Arial" w:cs="Arial"/>
          <w:color w:val="000000"/>
          <w:szCs w:val="20"/>
        </w:rPr>
      </w:pPr>
      <w:r w:rsidRPr="004D0354">
        <w:rPr>
          <w:color w:val="000000"/>
        </w:rPr>
        <w:t xml:space="preserve">Dimension </w:t>
      </w:r>
      <w:r w:rsidR="00A1060F" w:rsidRPr="004D0354">
        <w:rPr>
          <w:color w:val="000000"/>
        </w:rPr>
        <w:t>5.1.</w:t>
      </w:r>
      <w:r w:rsidR="00A1060F" w:rsidRPr="004D0354">
        <w:t>4</w:t>
      </w:r>
      <w:r w:rsidRPr="004D0354">
        <w:t>:</w:t>
      </w:r>
      <w:r w:rsidR="00A1060F" w:rsidRPr="004D0354">
        <w:rPr>
          <w:color w:val="000000"/>
        </w:rPr>
        <w:t xml:space="preserve"> Gender-responsive budgeting</w:t>
      </w:r>
    </w:p>
    <w:p w14:paraId="5B7BE56B" w14:textId="77777777" w:rsidR="00A1060F" w:rsidRPr="004D0354" w:rsidRDefault="00A1060F" w:rsidP="00A1060F">
      <w:pPr>
        <w:pBdr>
          <w:top w:val="nil"/>
          <w:left w:val="nil"/>
          <w:bottom w:val="nil"/>
          <w:right w:val="nil"/>
          <w:between w:val="nil"/>
        </w:pBdr>
        <w:ind w:left="562"/>
        <w:contextualSpacing/>
        <w:rPr>
          <w:rFonts w:eastAsia="Arial" w:cs="Arial"/>
          <w:color w:val="000000"/>
          <w:szCs w:val="20"/>
        </w:rPr>
      </w:pPr>
    </w:p>
    <w:p w14:paraId="40694E82" w14:textId="4A6056F4" w:rsidR="00A1060F" w:rsidRPr="004D0354" w:rsidRDefault="009F2D1F" w:rsidP="00A1060F">
      <w:pPr>
        <w:numPr>
          <w:ilvl w:val="0"/>
          <w:numId w:val="3"/>
        </w:numPr>
        <w:pBdr>
          <w:top w:val="nil"/>
          <w:left w:val="nil"/>
          <w:bottom w:val="nil"/>
          <w:right w:val="nil"/>
          <w:between w:val="nil"/>
        </w:pBdr>
        <w:ind w:left="562" w:hanging="562"/>
        <w:contextualSpacing/>
        <w:rPr>
          <w:rFonts w:eastAsia="Arial" w:cs="Arial"/>
          <w:color w:val="000000"/>
          <w:szCs w:val="20"/>
        </w:rPr>
      </w:pPr>
      <w:r w:rsidRPr="004D0354">
        <w:rPr>
          <w:color w:val="000000"/>
        </w:rPr>
        <w:t xml:space="preserve">Dimension </w:t>
      </w:r>
      <w:r w:rsidR="00A1060F" w:rsidRPr="004D0354">
        <w:rPr>
          <w:color w:val="000000"/>
        </w:rPr>
        <w:t>5.1.</w:t>
      </w:r>
      <w:r w:rsidR="00A1060F" w:rsidRPr="004D0354">
        <w:t>5</w:t>
      </w:r>
      <w:r w:rsidRPr="004D0354">
        <w:t>:</w:t>
      </w:r>
      <w:r w:rsidR="00A1060F" w:rsidRPr="004D0354">
        <w:rPr>
          <w:color w:val="000000"/>
        </w:rPr>
        <w:t xml:space="preserve"> Youth </w:t>
      </w:r>
      <w:r w:rsidR="00A1060F" w:rsidRPr="004D0354">
        <w:t>inclusion</w:t>
      </w:r>
    </w:p>
    <w:p w14:paraId="743884AF" w14:textId="77777777" w:rsidR="00A1060F" w:rsidRPr="004D0354" w:rsidRDefault="00A1060F" w:rsidP="005D05A6">
      <w:pPr>
        <w:spacing w:line="276" w:lineRule="auto"/>
        <w:rPr>
          <w:rFonts w:eastAsia="Arial" w:cs="Arial"/>
          <w:szCs w:val="20"/>
        </w:rPr>
      </w:pPr>
    </w:p>
    <w:p w14:paraId="50C391DC" w14:textId="77777777" w:rsidR="005D05A6" w:rsidRPr="004D0354" w:rsidRDefault="005D05A6" w:rsidP="005D05A6">
      <w:pPr>
        <w:pBdr>
          <w:top w:val="nil"/>
          <w:left w:val="nil"/>
          <w:bottom w:val="nil"/>
          <w:right w:val="nil"/>
          <w:between w:val="nil"/>
        </w:pBdr>
        <w:spacing w:line="276" w:lineRule="auto"/>
        <w:rPr>
          <w:rFonts w:eastAsia="Arial" w:cs="Arial"/>
          <w:color w:val="000000"/>
          <w:szCs w:val="20"/>
        </w:rPr>
      </w:pPr>
    </w:p>
    <w:p w14:paraId="5BB9EA0A" w14:textId="77777777" w:rsidR="005D05A6" w:rsidRPr="004D0354" w:rsidRDefault="005D05A6" w:rsidP="005D05A6">
      <w:pPr>
        <w:spacing w:line="276" w:lineRule="auto"/>
        <w:rPr>
          <w:rFonts w:eastAsia="Arial" w:cs="Arial"/>
          <w:color w:val="000000"/>
          <w:szCs w:val="20"/>
        </w:rPr>
      </w:pPr>
    </w:p>
    <w:p w14:paraId="06547759" w14:textId="77777777" w:rsidR="005D05A6" w:rsidRPr="004D0354" w:rsidRDefault="005D05A6" w:rsidP="005D05A6">
      <w:pPr>
        <w:spacing w:line="276" w:lineRule="auto"/>
        <w:rPr>
          <w:rFonts w:eastAsia="Arial" w:cs="Arial"/>
          <w:color w:val="000000"/>
          <w:szCs w:val="20"/>
        </w:rPr>
      </w:pPr>
    </w:p>
    <w:p w14:paraId="71735284" w14:textId="77777777" w:rsidR="005D05A6" w:rsidRPr="004D0354" w:rsidRDefault="005D05A6" w:rsidP="005D05A6">
      <w:pPr>
        <w:spacing w:line="276" w:lineRule="auto"/>
        <w:rPr>
          <w:rFonts w:eastAsia="Arial" w:cs="Arial"/>
          <w:color w:val="000000"/>
          <w:szCs w:val="20"/>
        </w:rPr>
      </w:pPr>
    </w:p>
    <w:p w14:paraId="175ADC84" w14:textId="7669EFC1" w:rsidR="00575CC0" w:rsidRDefault="00575CC0">
      <w:pPr>
        <w:rPr>
          <w:rFonts w:eastAsia="Arial" w:cs="Arial"/>
          <w:color w:val="000000"/>
          <w:szCs w:val="20"/>
        </w:rPr>
      </w:pPr>
      <w:r>
        <w:rPr>
          <w:rFonts w:eastAsia="Arial" w:cs="Arial"/>
          <w:color w:val="000000"/>
          <w:szCs w:val="20"/>
        </w:rPr>
        <w:br w:type="page"/>
      </w:r>
    </w:p>
    <w:p w14:paraId="43FD3CB4" w14:textId="77777777" w:rsidR="008B5588" w:rsidRPr="004D0354" w:rsidRDefault="008B5588" w:rsidP="002B4148">
      <w:pPr>
        <w:pStyle w:val="Heading3"/>
      </w:pPr>
      <w:r w:rsidRPr="004D0354">
        <w:lastRenderedPageBreak/>
        <w:t xml:space="preserve">Dimension 5.1.1: Human rights </w:t>
      </w:r>
    </w:p>
    <w:tbl>
      <w:tblPr>
        <w:tblStyle w:val="TableGrid"/>
        <w:tblW w:w="0" w:type="auto"/>
        <w:shd w:val="clear" w:color="auto" w:fill="EEEEEE"/>
        <w:tblLook w:val="04A0" w:firstRow="1" w:lastRow="0" w:firstColumn="1" w:lastColumn="0" w:noHBand="0" w:noVBand="1"/>
      </w:tblPr>
      <w:tblGrid>
        <w:gridCol w:w="8780"/>
      </w:tblGrid>
      <w:tr w:rsidR="008B5588" w:rsidRPr="004D0354" w14:paraId="6E9D0E12" w14:textId="77777777" w:rsidTr="008B5588">
        <w:tc>
          <w:tcPr>
            <w:tcW w:w="9350" w:type="dxa"/>
            <w:shd w:val="clear" w:color="auto" w:fill="EEEEEE"/>
          </w:tcPr>
          <w:p w14:paraId="2B4B4066" w14:textId="595444F4" w:rsidR="008B5588" w:rsidRPr="004D0354" w:rsidRDefault="008B5588" w:rsidP="008B5588">
            <w:pPr>
              <w:rPr>
                <w:rFonts w:eastAsia="Arial" w:cs="Arial"/>
                <w:szCs w:val="20"/>
              </w:rPr>
            </w:pPr>
            <w:r w:rsidRPr="004D0354">
              <w:t>This dimension is part of:</w:t>
            </w:r>
          </w:p>
          <w:p w14:paraId="00F24B72" w14:textId="10E63449" w:rsidR="008B5588" w:rsidRPr="004D0354" w:rsidRDefault="008B5588" w:rsidP="00FC3A37">
            <w:pPr>
              <w:pStyle w:val="ListParagraph"/>
            </w:pPr>
            <w:r w:rsidRPr="004D0354">
              <w:t xml:space="preserve">Indicator 5.1: Inclusive </w:t>
            </w:r>
            <w:r w:rsidR="00C80237" w:rsidRPr="004D0354">
              <w:t xml:space="preserve">law-making, </w:t>
            </w:r>
            <w:r w:rsidRPr="004D0354">
              <w:t>oversight</w:t>
            </w:r>
            <w:r w:rsidR="00C80237" w:rsidRPr="004D0354">
              <w:t xml:space="preserve"> and budgeting</w:t>
            </w:r>
          </w:p>
          <w:p w14:paraId="74EACBE5" w14:textId="4A6F7961" w:rsidR="008B5588" w:rsidRPr="004D0354" w:rsidRDefault="00FF025F" w:rsidP="00FC3A37">
            <w:pPr>
              <w:pStyle w:val="ListParagraph"/>
              <w:rPr>
                <w:sz w:val="24"/>
              </w:rPr>
            </w:pPr>
            <w:r w:rsidRPr="004D0354">
              <w:t>Target 5: Inclusive parliament</w:t>
            </w:r>
          </w:p>
        </w:tc>
      </w:tr>
    </w:tbl>
    <w:p w14:paraId="67956155" w14:textId="0C56E37B" w:rsidR="008B5588" w:rsidRPr="004D0354" w:rsidRDefault="008B5588" w:rsidP="00677367">
      <w:pPr>
        <w:pStyle w:val="section-title"/>
      </w:pPr>
      <w:r w:rsidRPr="004D0354">
        <w:t>About this dimension</w:t>
      </w:r>
    </w:p>
    <w:p w14:paraId="3620C3E2" w14:textId="072B847D" w:rsidR="00FF025F" w:rsidRPr="004D0354" w:rsidRDefault="008B5588" w:rsidP="007E5D1E">
      <w:pPr>
        <w:rPr>
          <w:color w:val="000000"/>
        </w:rPr>
      </w:pPr>
      <w:r w:rsidRPr="004D0354">
        <w:rPr>
          <w:color w:val="000000"/>
        </w:rPr>
        <w:t xml:space="preserve">This dimension </w:t>
      </w:r>
      <w:r w:rsidR="00892E65" w:rsidRPr="004D0354">
        <w:rPr>
          <w:color w:val="000000"/>
        </w:rPr>
        <w:t>concerns</w:t>
      </w:r>
      <w:r w:rsidRPr="004D0354">
        <w:rPr>
          <w:color w:val="000000"/>
        </w:rPr>
        <w:t xml:space="preserve"> parliament</w:t>
      </w:r>
      <w:r w:rsidR="00892E65" w:rsidRPr="004D0354">
        <w:rPr>
          <w:color w:val="000000"/>
        </w:rPr>
        <w:t>’s</w:t>
      </w:r>
      <w:r w:rsidR="00695ACF" w:rsidRPr="004D0354">
        <w:rPr>
          <w:color w:val="000000"/>
        </w:rPr>
        <w:t xml:space="preserve"> role</w:t>
      </w:r>
      <w:r w:rsidRPr="004D0354">
        <w:rPr>
          <w:color w:val="000000"/>
        </w:rPr>
        <w:t xml:space="preserve"> in protecting and promoting human rights</w:t>
      </w:r>
      <w:r w:rsidR="00FF025F" w:rsidRPr="004D0354">
        <w:rPr>
          <w:color w:val="000000"/>
        </w:rPr>
        <w:t xml:space="preserve">, and in helping to realize the entire spectrum of political, civil, economic, </w:t>
      </w:r>
      <w:proofErr w:type="gramStart"/>
      <w:r w:rsidR="00FF025F" w:rsidRPr="004D0354">
        <w:rPr>
          <w:color w:val="000000"/>
        </w:rPr>
        <w:t>social</w:t>
      </w:r>
      <w:proofErr w:type="gramEnd"/>
      <w:r w:rsidR="00FF025F" w:rsidRPr="004D0354">
        <w:rPr>
          <w:color w:val="000000"/>
        </w:rPr>
        <w:t xml:space="preserve"> and cultural rights. </w:t>
      </w:r>
      <w:r w:rsidR="00497D7C" w:rsidRPr="004D0354">
        <w:rPr>
          <w:color w:val="000000"/>
        </w:rPr>
        <w:t>Parliament fulfils this role</w:t>
      </w:r>
      <w:r w:rsidR="00FF025F" w:rsidRPr="004D0354">
        <w:rPr>
          <w:color w:val="000000"/>
        </w:rPr>
        <w:t xml:space="preserve"> by:</w:t>
      </w:r>
    </w:p>
    <w:p w14:paraId="6C82C42E" w14:textId="77777777" w:rsidR="00FF025F" w:rsidRPr="004D0354" w:rsidRDefault="00FF025F" w:rsidP="007E5D1E">
      <w:pPr>
        <w:rPr>
          <w:color w:val="000000"/>
        </w:rPr>
      </w:pPr>
    </w:p>
    <w:p w14:paraId="5821D2E0" w14:textId="149C014D" w:rsidR="00FF025F" w:rsidRPr="004D0354" w:rsidRDefault="00695ACF" w:rsidP="00FC3A37">
      <w:pPr>
        <w:pStyle w:val="ListParagraph"/>
      </w:pPr>
      <w:r w:rsidRPr="004D0354">
        <w:t>ensuring the</w:t>
      </w:r>
      <w:r w:rsidR="008B5588" w:rsidRPr="004D0354">
        <w:t xml:space="preserve"> right </w:t>
      </w:r>
      <w:r w:rsidRPr="004D0354">
        <w:t>of every</w:t>
      </w:r>
      <w:r w:rsidR="00EA5DBE" w:rsidRPr="004D0354">
        <w:t>one</w:t>
      </w:r>
      <w:r w:rsidRPr="004D0354">
        <w:t xml:space="preserve"> </w:t>
      </w:r>
      <w:r w:rsidR="008B5588" w:rsidRPr="004D0354">
        <w:t>to participat</w:t>
      </w:r>
      <w:r w:rsidRPr="004D0354">
        <w:t>e</w:t>
      </w:r>
      <w:r w:rsidR="008B5588" w:rsidRPr="004D0354">
        <w:t xml:space="preserve"> in the conduct of public </w:t>
      </w:r>
      <w:proofErr w:type="gramStart"/>
      <w:r w:rsidR="008B5588" w:rsidRPr="004D0354">
        <w:t>affairs</w:t>
      </w:r>
      <w:proofErr w:type="gramEnd"/>
    </w:p>
    <w:p w14:paraId="18236DD0" w14:textId="77777777" w:rsidR="008E0B91" w:rsidRPr="004D0354" w:rsidRDefault="008E0B91" w:rsidP="00FC3A37">
      <w:pPr>
        <w:pStyle w:val="ListParagraph"/>
      </w:pPr>
      <w:r w:rsidRPr="004D0354">
        <w:t>upholding the rule of law</w:t>
      </w:r>
    </w:p>
    <w:p w14:paraId="5673BE70" w14:textId="2E9958BC" w:rsidR="00FF025F" w:rsidRPr="004D0354" w:rsidRDefault="008B5588" w:rsidP="00FC3A37">
      <w:pPr>
        <w:pStyle w:val="ListParagraph"/>
      </w:pPr>
      <w:r w:rsidRPr="004D0354">
        <w:t>scrutini</w:t>
      </w:r>
      <w:r w:rsidR="00A82660" w:rsidRPr="004D0354">
        <w:t>z</w:t>
      </w:r>
      <w:r w:rsidRPr="004D0354">
        <w:t>ing legislation and budgets</w:t>
      </w:r>
    </w:p>
    <w:p w14:paraId="6D3A49C5" w14:textId="049708DB" w:rsidR="00FF025F" w:rsidRPr="004D0354" w:rsidRDefault="008B5588" w:rsidP="00FC3A37">
      <w:pPr>
        <w:pStyle w:val="ListParagraph"/>
      </w:pPr>
      <w:r w:rsidRPr="004D0354">
        <w:t xml:space="preserve">overseeing </w:t>
      </w:r>
      <w:r w:rsidR="00695ACF" w:rsidRPr="004D0354">
        <w:t xml:space="preserve">executive </w:t>
      </w:r>
      <w:r w:rsidRPr="004D0354">
        <w:t>action across sectors</w:t>
      </w:r>
    </w:p>
    <w:p w14:paraId="68C3DD4E" w14:textId="11787666" w:rsidR="008B5588" w:rsidRPr="004D0354" w:rsidRDefault="00FF025F" w:rsidP="00FC3A37">
      <w:pPr>
        <w:pStyle w:val="ListParagraph"/>
      </w:pPr>
      <w:r w:rsidRPr="004D0354">
        <w:t xml:space="preserve">ensuring that the judiciary is independent, effective and </w:t>
      </w:r>
      <w:proofErr w:type="gramStart"/>
      <w:r w:rsidRPr="004D0354">
        <w:t>accessible</w:t>
      </w:r>
      <w:proofErr w:type="gramEnd"/>
    </w:p>
    <w:p w14:paraId="4B84E776" w14:textId="5D651B07" w:rsidR="008E0B91" w:rsidRPr="004D0354" w:rsidRDefault="008E0B91" w:rsidP="00FC3A37">
      <w:pPr>
        <w:pStyle w:val="ListParagraph"/>
      </w:pPr>
      <w:r w:rsidRPr="004D0354">
        <w:t>ensuring that national human rights institutions (NHRIs) can effectively fulfil their mandate</w:t>
      </w:r>
      <w:r w:rsidR="00F139A2" w:rsidRPr="004D0354">
        <w:t>;</w:t>
      </w:r>
      <w:r w:rsidRPr="004D0354">
        <w:t xml:space="preserve"> </w:t>
      </w:r>
      <w:r w:rsidR="00F139A2" w:rsidRPr="004D0354">
        <w:t>i</w:t>
      </w:r>
      <w:r w:rsidRPr="004D0354">
        <w:t xml:space="preserve">n many countries, the composition of the NHRI is approved by parliament and the NHRI has a duty to report to </w:t>
      </w:r>
      <w:proofErr w:type="gramStart"/>
      <w:r w:rsidRPr="004D0354">
        <w:t>parliament</w:t>
      </w:r>
      <w:proofErr w:type="gramEnd"/>
    </w:p>
    <w:p w14:paraId="11F83AA4" w14:textId="37F84BE8" w:rsidR="00FF025F" w:rsidRPr="004D0354" w:rsidRDefault="00FF025F" w:rsidP="00FC3A37">
      <w:pPr>
        <w:pStyle w:val="ListParagraph"/>
      </w:pPr>
      <w:r w:rsidRPr="004D0354">
        <w:t xml:space="preserve">ensuring that a free, </w:t>
      </w:r>
      <w:proofErr w:type="gramStart"/>
      <w:r w:rsidRPr="004D0354">
        <w:t>independent</w:t>
      </w:r>
      <w:proofErr w:type="gramEnd"/>
      <w:r w:rsidRPr="004D0354">
        <w:t xml:space="preserve"> and pluralistic media exists</w:t>
      </w:r>
    </w:p>
    <w:p w14:paraId="2FEDFC7E" w14:textId="11B51DEF" w:rsidR="00FF025F" w:rsidRPr="004D0354" w:rsidRDefault="00FF025F" w:rsidP="004D0354">
      <w:pPr>
        <w:pStyle w:val="ListParagraph"/>
      </w:pPr>
      <w:r w:rsidRPr="004D0354">
        <w:t>ensuring that civil society organizations (CSOs) can work effectively and without fear of reprisals.</w:t>
      </w:r>
    </w:p>
    <w:p w14:paraId="3D0DFAF6" w14:textId="77777777" w:rsidR="008B5588" w:rsidRPr="004D0354" w:rsidRDefault="008B5588" w:rsidP="008E0B91">
      <w:pPr>
        <w:rPr>
          <w:sz w:val="16"/>
        </w:rPr>
      </w:pPr>
    </w:p>
    <w:p w14:paraId="2BF048FD" w14:textId="33919C38" w:rsidR="008B5588" w:rsidRPr="004D0354" w:rsidRDefault="008B5588" w:rsidP="007E5D1E">
      <w:pPr>
        <w:rPr>
          <w:color w:val="000000"/>
        </w:rPr>
      </w:pPr>
      <w:r w:rsidRPr="004D0354">
        <w:rPr>
          <w:color w:val="000000"/>
        </w:rPr>
        <w:t>The existence of a speciali</w:t>
      </w:r>
      <w:r w:rsidR="00A82660" w:rsidRPr="004D0354">
        <w:rPr>
          <w:color w:val="000000"/>
        </w:rPr>
        <w:t>z</w:t>
      </w:r>
      <w:r w:rsidRPr="004D0354">
        <w:rPr>
          <w:color w:val="000000"/>
        </w:rPr>
        <w:t>ed parliamentary committee with a strong human rights mandate can send a strong political message, help</w:t>
      </w:r>
      <w:r w:rsidR="00FF025F" w:rsidRPr="004D0354">
        <w:rPr>
          <w:color w:val="000000"/>
        </w:rPr>
        <w:t xml:space="preserve"> to</w:t>
      </w:r>
      <w:r w:rsidRPr="004D0354">
        <w:rPr>
          <w:color w:val="000000"/>
        </w:rPr>
        <w:t xml:space="preserve"> mainstream human rights across parliamentary work and facilitate interaction between parliament and other human rights stakeholders. </w:t>
      </w:r>
      <w:r w:rsidR="00EA5DBE" w:rsidRPr="004D0354">
        <w:rPr>
          <w:color w:val="000000"/>
        </w:rPr>
        <w:t xml:space="preserve">Caucuses </w:t>
      </w:r>
      <w:r w:rsidRPr="004D0354">
        <w:rPr>
          <w:color w:val="000000"/>
        </w:rPr>
        <w:t xml:space="preserve">or informal groups of MPs active </w:t>
      </w:r>
      <w:proofErr w:type="gramStart"/>
      <w:r w:rsidRPr="004D0354">
        <w:rPr>
          <w:color w:val="000000"/>
        </w:rPr>
        <w:t>in the area of</w:t>
      </w:r>
      <w:proofErr w:type="gramEnd"/>
      <w:r w:rsidRPr="004D0354">
        <w:rPr>
          <w:color w:val="000000"/>
        </w:rPr>
        <w:t xml:space="preserve"> human rights</w:t>
      </w:r>
      <w:r w:rsidR="00EA5DBE" w:rsidRPr="004D0354">
        <w:rPr>
          <w:color w:val="000000"/>
        </w:rPr>
        <w:t xml:space="preserve"> are other common parliamentary mechanisms</w:t>
      </w:r>
      <w:r w:rsidR="008E0B91" w:rsidRPr="004D0354">
        <w:rPr>
          <w:color w:val="000000"/>
        </w:rPr>
        <w:t>.</w:t>
      </w:r>
    </w:p>
    <w:p w14:paraId="49A7D6D2" w14:textId="337AF919" w:rsidR="008E0B91" w:rsidRPr="004D0354" w:rsidRDefault="008E0B91" w:rsidP="007E5D1E">
      <w:pPr>
        <w:rPr>
          <w:color w:val="000000"/>
        </w:rPr>
      </w:pPr>
    </w:p>
    <w:p w14:paraId="11259A4C" w14:textId="5E64664C" w:rsidR="008B5588" w:rsidRPr="004D0354" w:rsidRDefault="008B5588" w:rsidP="007E5D1E">
      <w:pPr>
        <w:rPr>
          <w:rFonts w:eastAsia="Arial" w:cs="Arial"/>
          <w:color w:val="000000"/>
          <w:szCs w:val="20"/>
        </w:rPr>
      </w:pPr>
      <w:r w:rsidRPr="004D0354">
        <w:rPr>
          <w:color w:val="000000"/>
        </w:rPr>
        <w:t xml:space="preserve">Parliament contributes to the </w:t>
      </w:r>
      <w:r w:rsidRPr="004D0354">
        <w:t>monitoring of the implementation</w:t>
      </w:r>
      <w:r w:rsidRPr="004D0354">
        <w:rPr>
          <w:color w:val="000000"/>
        </w:rPr>
        <w:t xml:space="preserve"> of international human rights obligations</w:t>
      </w:r>
      <w:r w:rsidRPr="004D0354">
        <w:t>.</w:t>
      </w:r>
      <w:r w:rsidRPr="004D0354">
        <w:rPr>
          <w:color w:val="000000"/>
        </w:rPr>
        <w:t xml:space="preserve"> Parliament should be actively engaged with </w:t>
      </w:r>
      <w:r w:rsidR="00922583" w:rsidRPr="004D0354">
        <w:rPr>
          <w:color w:val="000000"/>
        </w:rPr>
        <w:t xml:space="preserve">United Nations </w:t>
      </w:r>
      <w:r w:rsidRPr="004D0354">
        <w:rPr>
          <w:color w:val="000000"/>
        </w:rPr>
        <w:t xml:space="preserve">human rights mechanisms, </w:t>
      </w:r>
      <w:r w:rsidR="00B83605" w:rsidRPr="004D0354">
        <w:rPr>
          <w:color w:val="000000"/>
        </w:rPr>
        <w:t xml:space="preserve">such as </w:t>
      </w:r>
      <w:r w:rsidRPr="004D0354">
        <w:rPr>
          <w:color w:val="000000"/>
        </w:rPr>
        <w:t xml:space="preserve">the </w:t>
      </w:r>
      <w:r w:rsidR="00922583" w:rsidRPr="004D0354">
        <w:rPr>
          <w:color w:val="000000"/>
        </w:rPr>
        <w:t>UN</w:t>
      </w:r>
      <w:r w:rsidR="00A82660" w:rsidRPr="004D0354">
        <w:rPr>
          <w:color w:val="000000"/>
        </w:rPr>
        <w:t xml:space="preserve"> </w:t>
      </w:r>
      <w:r w:rsidRPr="004D0354">
        <w:rPr>
          <w:color w:val="000000"/>
        </w:rPr>
        <w:t>Human Rights Council</w:t>
      </w:r>
      <w:r w:rsidR="00B83605" w:rsidRPr="004D0354">
        <w:rPr>
          <w:color w:val="000000"/>
        </w:rPr>
        <w:t xml:space="preserve"> and</w:t>
      </w:r>
      <w:r w:rsidRPr="004D0354">
        <w:rPr>
          <w:color w:val="000000"/>
        </w:rPr>
        <w:t xml:space="preserve"> its universal periodic review (UPR)</w:t>
      </w:r>
      <w:r w:rsidR="00B83605" w:rsidRPr="004D0354">
        <w:rPr>
          <w:color w:val="000000"/>
        </w:rPr>
        <w:t xml:space="preserve">, </w:t>
      </w:r>
      <w:r w:rsidRPr="004D0354">
        <w:rPr>
          <w:color w:val="000000"/>
        </w:rPr>
        <w:t>and UN human rights treaty bodies</w:t>
      </w:r>
      <w:r w:rsidR="00B83605" w:rsidRPr="004D0354">
        <w:rPr>
          <w:color w:val="000000"/>
        </w:rPr>
        <w:t xml:space="preserve">, including by contributing to the </w:t>
      </w:r>
      <w:r w:rsidRPr="004D0354">
        <w:rPr>
          <w:color w:val="000000"/>
        </w:rPr>
        <w:t>drafting or discussion of national report</w:t>
      </w:r>
      <w:r w:rsidR="00B83605" w:rsidRPr="004D0354">
        <w:rPr>
          <w:color w:val="000000"/>
        </w:rPr>
        <w:t>s</w:t>
      </w:r>
      <w:r w:rsidRPr="004D0354">
        <w:rPr>
          <w:color w:val="000000"/>
        </w:rPr>
        <w:t>, by taking part in the official delegation</w:t>
      </w:r>
      <w:r w:rsidR="00B83605" w:rsidRPr="004D0354">
        <w:rPr>
          <w:color w:val="000000"/>
        </w:rPr>
        <w:t xml:space="preserve"> </w:t>
      </w:r>
      <w:r w:rsidRPr="004D0354">
        <w:rPr>
          <w:color w:val="000000"/>
        </w:rPr>
        <w:t xml:space="preserve">that presents the report </w:t>
      </w:r>
      <w:r w:rsidR="00B83605" w:rsidRPr="004D0354">
        <w:rPr>
          <w:color w:val="000000"/>
        </w:rPr>
        <w:t xml:space="preserve">(in either an active or an observer capacity) </w:t>
      </w:r>
      <w:r w:rsidRPr="004D0354">
        <w:rPr>
          <w:color w:val="000000"/>
        </w:rPr>
        <w:t xml:space="preserve">and </w:t>
      </w:r>
      <w:r w:rsidR="00B83605" w:rsidRPr="004D0354">
        <w:rPr>
          <w:color w:val="000000"/>
        </w:rPr>
        <w:t>by</w:t>
      </w:r>
      <w:r w:rsidRPr="004D0354">
        <w:rPr>
          <w:color w:val="000000"/>
        </w:rPr>
        <w:t xml:space="preserve"> helping </w:t>
      </w:r>
      <w:r w:rsidR="004A2639" w:rsidRPr="004D0354">
        <w:rPr>
          <w:color w:val="000000"/>
        </w:rPr>
        <w:t>to implement</w:t>
      </w:r>
      <w:r w:rsidRPr="004D0354">
        <w:rPr>
          <w:color w:val="000000"/>
        </w:rPr>
        <w:t xml:space="preserve"> the</w:t>
      </w:r>
      <w:r w:rsidR="0053551F" w:rsidRPr="004D0354">
        <w:rPr>
          <w:color w:val="000000"/>
        </w:rPr>
        <w:t xml:space="preserve"> subsequent</w:t>
      </w:r>
      <w:r w:rsidRPr="004D0354">
        <w:rPr>
          <w:color w:val="000000"/>
        </w:rPr>
        <w:t xml:space="preserve"> recommendations. </w:t>
      </w:r>
    </w:p>
    <w:p w14:paraId="3FB547DF" w14:textId="4ECD15BD" w:rsidR="008B5588" w:rsidRPr="004D0354" w:rsidRDefault="008B5588" w:rsidP="00677367">
      <w:pPr>
        <w:pStyle w:val="section-title"/>
      </w:pPr>
      <w:r w:rsidRPr="004D0354">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8780"/>
      </w:tblGrid>
      <w:tr w:rsidR="008B5588" w:rsidRPr="004D0354" w14:paraId="4CA12AAE" w14:textId="77777777" w:rsidTr="007E5D1E">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8931912" w14:textId="7ED6EEDF" w:rsidR="008B5588" w:rsidRPr="004D0354" w:rsidRDefault="008B5588" w:rsidP="007E5D1E">
            <w:pPr>
              <w:rPr>
                <w:rFonts w:eastAsia="Arial" w:cs="Arial"/>
                <w:i/>
                <w:szCs w:val="20"/>
              </w:rPr>
            </w:pPr>
            <w:r w:rsidRPr="004D0354">
              <w:rPr>
                <w:i/>
              </w:rPr>
              <w:t xml:space="preserve">Based on a global comparative analysis, an aspiring goal for parliaments </w:t>
            </w:r>
            <w:proofErr w:type="gramStart"/>
            <w:r w:rsidRPr="004D0354">
              <w:rPr>
                <w:i/>
              </w:rPr>
              <w:t>in the area of</w:t>
            </w:r>
            <w:proofErr w:type="gramEnd"/>
            <w:r w:rsidRPr="004D0354">
              <w:rPr>
                <w:i/>
              </w:rPr>
              <w:t xml:space="preserve"> </w:t>
            </w:r>
            <w:r w:rsidR="00112924" w:rsidRPr="004D0354">
              <w:rPr>
                <w:i/>
              </w:rPr>
              <w:t>“</w:t>
            </w:r>
            <w:r w:rsidRPr="004D0354">
              <w:rPr>
                <w:i/>
              </w:rPr>
              <w:t>human rights</w:t>
            </w:r>
            <w:r w:rsidR="00112924" w:rsidRPr="004D0354">
              <w:rPr>
                <w:i/>
              </w:rPr>
              <w:t>”</w:t>
            </w:r>
            <w:r w:rsidRPr="004D0354">
              <w:rPr>
                <w:i/>
              </w:rPr>
              <w:t xml:space="preserve"> is as follows:</w:t>
            </w:r>
          </w:p>
          <w:p w14:paraId="2E357FF6" w14:textId="77777777" w:rsidR="008B5588" w:rsidRPr="004D0354" w:rsidRDefault="008B5588" w:rsidP="007E5D1E">
            <w:pPr>
              <w:rPr>
                <w:rFonts w:eastAsia="Arial" w:cs="Arial"/>
                <w:szCs w:val="20"/>
              </w:rPr>
            </w:pPr>
          </w:p>
          <w:p w14:paraId="6F66DEE7" w14:textId="77777777" w:rsidR="0082775D" w:rsidRPr="004D0354" w:rsidRDefault="0082775D" w:rsidP="004D0354">
            <w:pPr>
              <w:rPr>
                <w:color w:val="000000"/>
              </w:rPr>
            </w:pPr>
            <w:r w:rsidRPr="004D0354">
              <w:rPr>
                <w:color w:val="000000"/>
              </w:rPr>
              <w:t xml:space="preserve">Parliament has a mandate to debate and ratify international human rights treaties, and to ensure that the national legal framework is consistent with international human rights obligations. </w:t>
            </w:r>
          </w:p>
          <w:p w14:paraId="5239F21F" w14:textId="77777777" w:rsidR="0082775D" w:rsidRPr="004D0354" w:rsidRDefault="0082775D" w:rsidP="007E5D1E">
            <w:pPr>
              <w:rPr>
                <w:color w:val="000000"/>
              </w:rPr>
            </w:pPr>
          </w:p>
          <w:p w14:paraId="2B0B4379" w14:textId="04F6D976" w:rsidR="0082775D" w:rsidRPr="004D0354" w:rsidRDefault="0082775D" w:rsidP="007E5D1E">
            <w:pPr>
              <w:rPr>
                <w:color w:val="000000"/>
              </w:rPr>
            </w:pPr>
            <w:r w:rsidRPr="004D0354">
              <w:rPr>
                <w:color w:val="000000"/>
              </w:rPr>
              <w:t>Parliament has one or more specialized committees responsible for human rights, with powers to assess legislation and government policy and action, and to ensure their compatibility with human rights obligations.</w:t>
            </w:r>
          </w:p>
          <w:p w14:paraId="0D0137A5" w14:textId="22603DB3" w:rsidR="0082775D" w:rsidRPr="004D0354" w:rsidRDefault="0082775D" w:rsidP="007E5D1E">
            <w:pPr>
              <w:rPr>
                <w:color w:val="000000"/>
              </w:rPr>
            </w:pPr>
          </w:p>
          <w:p w14:paraId="2CD24D69" w14:textId="5BFCD5CF" w:rsidR="0082775D" w:rsidRPr="004D0354" w:rsidRDefault="0082775D" w:rsidP="004D0354">
            <w:pPr>
              <w:rPr>
                <w:color w:val="000000"/>
              </w:rPr>
            </w:pPr>
            <w:r w:rsidRPr="004D0354">
              <w:rPr>
                <w:color w:val="000000"/>
              </w:rPr>
              <w:t xml:space="preserve">The NHRI is established in law and has the necessary mandate and resources to carry out its work. Its relationship with parliament is in line with the </w:t>
            </w:r>
            <w:r w:rsidRPr="004D0354">
              <w:rPr>
                <w:i/>
                <w:iCs/>
                <w:color w:val="000000"/>
              </w:rPr>
              <w:t>Belgrade principles on the relationship between national human rights institutions and parliaments</w:t>
            </w:r>
            <w:r w:rsidRPr="004D0354">
              <w:rPr>
                <w:color w:val="000000"/>
              </w:rPr>
              <w:t xml:space="preserve">. </w:t>
            </w:r>
          </w:p>
          <w:p w14:paraId="0DA35506" w14:textId="775ED769" w:rsidR="0082775D" w:rsidRPr="004D0354" w:rsidRDefault="0082775D" w:rsidP="004D0354">
            <w:pPr>
              <w:rPr>
                <w:color w:val="000000"/>
              </w:rPr>
            </w:pPr>
          </w:p>
          <w:p w14:paraId="0C7AC119" w14:textId="21A952E1" w:rsidR="0082775D" w:rsidRPr="004D0354" w:rsidRDefault="0082775D" w:rsidP="004D0354">
            <w:pPr>
              <w:rPr>
                <w:color w:val="000000"/>
              </w:rPr>
            </w:pPr>
            <w:r w:rsidRPr="004D0354">
              <w:rPr>
                <w:color w:val="000000"/>
              </w:rPr>
              <w:t xml:space="preserve">Parliament has a clear role in the different stages of the reporting procedures to the UN Human Rights Council under its </w:t>
            </w:r>
            <w:r w:rsidR="00F139A2" w:rsidRPr="004D0354">
              <w:rPr>
                <w:color w:val="000000"/>
              </w:rPr>
              <w:t>u</w:t>
            </w:r>
            <w:r w:rsidRPr="004D0354">
              <w:rPr>
                <w:color w:val="000000"/>
              </w:rPr>
              <w:t xml:space="preserve">niversal </w:t>
            </w:r>
            <w:r w:rsidR="00F139A2" w:rsidRPr="004D0354">
              <w:rPr>
                <w:color w:val="000000"/>
              </w:rPr>
              <w:t>p</w:t>
            </w:r>
            <w:r w:rsidRPr="004D0354">
              <w:rPr>
                <w:color w:val="000000"/>
              </w:rPr>
              <w:t xml:space="preserve">eriodic </w:t>
            </w:r>
            <w:r w:rsidR="00F139A2" w:rsidRPr="004D0354">
              <w:rPr>
                <w:color w:val="000000"/>
              </w:rPr>
              <w:t>r</w:t>
            </w:r>
            <w:r w:rsidRPr="004D0354">
              <w:rPr>
                <w:color w:val="000000"/>
              </w:rPr>
              <w:t>eview and to the UN human rights treaty bodies. It contributes to the preparation and presentation of national reports and the implementation of subsequent recommendations.</w:t>
            </w:r>
          </w:p>
          <w:p w14:paraId="34C0343F" w14:textId="77777777" w:rsidR="008B5588" w:rsidRPr="004D0354" w:rsidRDefault="008B5588" w:rsidP="004D0354">
            <w:pPr>
              <w:rPr>
                <w:rFonts w:eastAsia="Arial" w:cs="Arial"/>
                <w:color w:val="005F9A"/>
                <w:szCs w:val="20"/>
              </w:rPr>
            </w:pPr>
          </w:p>
        </w:tc>
      </w:tr>
    </w:tbl>
    <w:p w14:paraId="3BCD38D1" w14:textId="77777777" w:rsidR="008B5588" w:rsidRPr="004D0354" w:rsidRDefault="008B5588" w:rsidP="00677367">
      <w:pPr>
        <w:pStyle w:val="section-title"/>
      </w:pPr>
      <w:r w:rsidRPr="004D0354">
        <w:lastRenderedPageBreak/>
        <w:t>Assessment</w:t>
      </w:r>
    </w:p>
    <w:p w14:paraId="4B098A49" w14:textId="4E6A90F1" w:rsidR="008B5588" w:rsidRPr="004D0354" w:rsidRDefault="008B5588" w:rsidP="007E5D1E">
      <w:pPr>
        <w:spacing w:before="200"/>
        <w:rPr>
          <w:rFonts w:eastAsia="Arial" w:cs="Arial"/>
          <w:szCs w:val="20"/>
        </w:rPr>
      </w:pPr>
      <w:r w:rsidRPr="004D0354">
        <w:rPr>
          <w:color w:val="000000"/>
        </w:rPr>
        <w:t xml:space="preserve">This dimension is assessed against several criteria, each of which should be evaluated separately. For each criterion, select one of the six descriptive grades (Non-existent, Rudimentary, Basic, Good, </w:t>
      </w:r>
      <w:proofErr w:type="gramStart"/>
      <w:r w:rsidRPr="004D0354">
        <w:rPr>
          <w:color w:val="000000"/>
        </w:rPr>
        <w:t>Very</w:t>
      </w:r>
      <w:proofErr w:type="gramEnd"/>
      <w:r w:rsidRPr="004D0354">
        <w:rPr>
          <w:color w:val="000000"/>
        </w:rPr>
        <w:t xml:space="preserve"> good and Excellent) that best reflects the situation in your parliament, and provide details of the evidence on which this assessment is based.</w:t>
      </w:r>
      <w:r w:rsidRPr="004D0354">
        <w:t xml:space="preserve"> </w:t>
      </w:r>
    </w:p>
    <w:p w14:paraId="3E86624B" w14:textId="694751E1" w:rsidR="007E5D1E" w:rsidRPr="004D0354" w:rsidRDefault="008B5588" w:rsidP="007E5D1E">
      <w:pPr>
        <w:spacing w:before="200"/>
        <w:rPr>
          <w:rFonts w:eastAsia="Arial" w:cs="Arial"/>
          <w:szCs w:val="20"/>
        </w:rPr>
      </w:pPr>
      <w:r w:rsidRPr="004D0354">
        <w:t>The evidence for assessment of this dimension could include the following:</w:t>
      </w:r>
    </w:p>
    <w:p w14:paraId="48E0D421" w14:textId="77777777" w:rsidR="007E5D1E" w:rsidRPr="004D0354" w:rsidRDefault="007E5D1E" w:rsidP="007E5D1E">
      <w:pPr>
        <w:rPr>
          <w:rFonts w:eastAsia="Arial" w:cs="Arial"/>
          <w:szCs w:val="20"/>
        </w:rPr>
      </w:pPr>
    </w:p>
    <w:p w14:paraId="25C93012" w14:textId="6CFAFF38" w:rsidR="008B5588" w:rsidRPr="004D0354" w:rsidRDefault="00093E24" w:rsidP="007E5D1E">
      <w:pPr>
        <w:numPr>
          <w:ilvl w:val="0"/>
          <w:numId w:val="35"/>
        </w:numPr>
        <w:spacing w:before="120" w:after="120"/>
        <w:ind w:left="720" w:hanging="360"/>
        <w:contextualSpacing/>
        <w:rPr>
          <w:rFonts w:eastAsia="Arial" w:cs="Arial"/>
          <w:color w:val="000000"/>
          <w:szCs w:val="20"/>
        </w:rPr>
      </w:pPr>
      <w:r w:rsidRPr="004D0354">
        <w:rPr>
          <w:color w:val="000000"/>
        </w:rPr>
        <w:t xml:space="preserve">Provisions of </w:t>
      </w:r>
      <w:r w:rsidR="008B5588" w:rsidRPr="004D0354">
        <w:rPr>
          <w:color w:val="000000"/>
        </w:rPr>
        <w:t xml:space="preserve">the constitution </w:t>
      </w:r>
      <w:r w:rsidRPr="004D0354">
        <w:rPr>
          <w:color w:val="000000"/>
        </w:rPr>
        <w:t>and/</w:t>
      </w:r>
      <w:r w:rsidR="008B5588" w:rsidRPr="004D0354">
        <w:rPr>
          <w:color w:val="000000"/>
        </w:rPr>
        <w:t>or other</w:t>
      </w:r>
      <w:r w:rsidRPr="004D0354">
        <w:rPr>
          <w:color w:val="000000"/>
        </w:rPr>
        <w:t xml:space="preserve"> aspects of the legal framework</w:t>
      </w:r>
      <w:r w:rsidR="008B5588" w:rsidRPr="004D0354">
        <w:rPr>
          <w:color w:val="000000"/>
        </w:rPr>
        <w:t xml:space="preserve"> referencing international human rights obligations</w:t>
      </w:r>
    </w:p>
    <w:p w14:paraId="3FE79E52" w14:textId="6E5B1170" w:rsidR="008B5588" w:rsidRPr="004D0354" w:rsidRDefault="008B5588" w:rsidP="007E5D1E">
      <w:pPr>
        <w:numPr>
          <w:ilvl w:val="0"/>
          <w:numId w:val="35"/>
        </w:numPr>
        <w:spacing w:before="120" w:after="120"/>
        <w:ind w:left="720" w:hanging="360"/>
        <w:contextualSpacing/>
        <w:rPr>
          <w:rFonts w:eastAsia="Arial" w:cs="Arial"/>
          <w:color w:val="000000"/>
          <w:szCs w:val="20"/>
        </w:rPr>
      </w:pPr>
      <w:r w:rsidRPr="004D0354">
        <w:rPr>
          <w:color w:val="000000"/>
        </w:rPr>
        <w:t xml:space="preserve">Terms of reference for </w:t>
      </w:r>
      <w:r w:rsidR="008C0A20" w:rsidRPr="004D0354">
        <w:rPr>
          <w:color w:val="000000"/>
        </w:rPr>
        <w:t>one or more parliamentary committees with responsibility for human rights</w:t>
      </w:r>
    </w:p>
    <w:p w14:paraId="33B173D3" w14:textId="71001AAC" w:rsidR="008B5588" w:rsidRPr="004D0354" w:rsidRDefault="008B5588" w:rsidP="007E5D1E">
      <w:pPr>
        <w:numPr>
          <w:ilvl w:val="0"/>
          <w:numId w:val="35"/>
        </w:numPr>
        <w:spacing w:before="120" w:after="120"/>
        <w:ind w:left="720" w:hanging="360"/>
        <w:contextualSpacing/>
        <w:rPr>
          <w:rFonts w:eastAsia="Arial" w:cs="Arial"/>
          <w:color w:val="000000"/>
          <w:szCs w:val="20"/>
        </w:rPr>
      </w:pPr>
      <w:r w:rsidRPr="004D0354">
        <w:rPr>
          <w:color w:val="000000"/>
        </w:rPr>
        <w:t>Memorand</w:t>
      </w:r>
      <w:r w:rsidR="009B15A2" w:rsidRPr="004D0354">
        <w:rPr>
          <w:color w:val="000000"/>
        </w:rPr>
        <w:t>ums</w:t>
      </w:r>
      <w:r w:rsidRPr="004D0354">
        <w:rPr>
          <w:color w:val="000000"/>
        </w:rPr>
        <w:t xml:space="preserve"> of understanding or other forms of cooperation between the NHRI and parliament</w:t>
      </w:r>
    </w:p>
    <w:p w14:paraId="39B53CCB" w14:textId="2C0C341E" w:rsidR="008B5588" w:rsidRPr="004D0354" w:rsidRDefault="008B5588" w:rsidP="007E5D1E">
      <w:pPr>
        <w:numPr>
          <w:ilvl w:val="0"/>
          <w:numId w:val="35"/>
        </w:numPr>
        <w:spacing w:before="120" w:after="120"/>
        <w:ind w:left="720" w:hanging="360"/>
        <w:contextualSpacing/>
        <w:rPr>
          <w:rFonts w:eastAsia="Arial" w:cs="Arial"/>
          <w:szCs w:val="20"/>
        </w:rPr>
      </w:pPr>
      <w:r w:rsidRPr="004D0354">
        <w:rPr>
          <w:color w:val="000000"/>
        </w:rPr>
        <w:t>Parliamentary committee reports indicating the evidence from</w:t>
      </w:r>
      <w:r w:rsidR="008C0A20" w:rsidRPr="004D0354">
        <w:rPr>
          <w:color w:val="000000"/>
        </w:rPr>
        <w:t>,</w:t>
      </w:r>
      <w:r w:rsidRPr="004D0354">
        <w:rPr>
          <w:color w:val="000000"/>
        </w:rPr>
        <w:t xml:space="preserve"> and routine engagement with</w:t>
      </w:r>
      <w:r w:rsidR="008C0A20" w:rsidRPr="004D0354">
        <w:rPr>
          <w:color w:val="000000"/>
        </w:rPr>
        <w:t>,</w:t>
      </w:r>
      <w:r w:rsidRPr="004D0354">
        <w:rPr>
          <w:color w:val="000000"/>
        </w:rPr>
        <w:t xml:space="preserve"> national human rights bodies and </w:t>
      </w:r>
      <w:proofErr w:type="gramStart"/>
      <w:r w:rsidR="008C0A20" w:rsidRPr="004D0354">
        <w:rPr>
          <w:color w:val="000000"/>
        </w:rPr>
        <w:t>CSOs</w:t>
      </w:r>
      <w:proofErr w:type="gramEnd"/>
      <w:r w:rsidRPr="004D0354">
        <w:rPr>
          <w:color w:val="000000"/>
        </w:rPr>
        <w:t xml:space="preserve"> </w:t>
      </w:r>
    </w:p>
    <w:p w14:paraId="07B7DCBA" w14:textId="77777777" w:rsidR="0082775D" w:rsidRPr="004D0354" w:rsidRDefault="0082775D" w:rsidP="0082775D">
      <w:pPr>
        <w:numPr>
          <w:ilvl w:val="0"/>
          <w:numId w:val="35"/>
        </w:numPr>
        <w:spacing w:before="120" w:after="120"/>
        <w:ind w:left="720" w:hanging="360"/>
        <w:contextualSpacing/>
        <w:rPr>
          <w:rFonts w:eastAsia="Arial" w:cs="Arial"/>
          <w:szCs w:val="20"/>
        </w:rPr>
      </w:pPr>
      <w:r w:rsidRPr="004D0354">
        <w:rPr>
          <w:color w:val="000000"/>
        </w:rPr>
        <w:t>Details of the composition of national delegations to UN human rights mechanisms showing the participation of MPs in such delegations</w:t>
      </w:r>
    </w:p>
    <w:p w14:paraId="5670A1D6" w14:textId="77777777" w:rsidR="008B5588" w:rsidRPr="004D0354" w:rsidRDefault="008B5588" w:rsidP="007E5D1E">
      <w:pPr>
        <w:spacing w:before="120" w:after="120"/>
        <w:ind w:left="720"/>
        <w:contextualSpacing/>
        <w:rPr>
          <w:rFonts w:eastAsia="Arial" w:cs="Arial"/>
          <w:color w:val="000000"/>
          <w:szCs w:val="20"/>
        </w:rPr>
      </w:pPr>
    </w:p>
    <w:p w14:paraId="39FD6D27" w14:textId="703931C3" w:rsidR="008B5588" w:rsidRPr="004D0354" w:rsidRDefault="008B5588" w:rsidP="007E5D1E">
      <w:pPr>
        <w:rPr>
          <w:rFonts w:eastAsia="Arial" w:cs="Arial"/>
          <w:szCs w:val="20"/>
        </w:rPr>
      </w:pPr>
      <w:r w:rsidRPr="004D0354">
        <w:t>Where relevant, provide additional comments or examples that support the assessment.</w:t>
      </w:r>
    </w:p>
    <w:p w14:paraId="4A5145E9" w14:textId="77777777" w:rsidR="008B5588" w:rsidRPr="004D0354" w:rsidRDefault="008B5588" w:rsidP="008B5588">
      <w:pPr>
        <w:spacing w:line="276" w:lineRule="auto"/>
        <w:rPr>
          <w:rFonts w:eastAsia="Arial" w:cs="Arial"/>
          <w:color w:val="000000"/>
          <w:szCs w:val="20"/>
        </w:rPr>
      </w:pPr>
    </w:p>
    <w:p w14:paraId="2AF3E632" w14:textId="45D4EF22" w:rsidR="008B5588" w:rsidRPr="004D0354" w:rsidRDefault="008B5588" w:rsidP="001030B6">
      <w:pPr>
        <w:pStyle w:val="Heading4"/>
        <w:rPr>
          <w:rFonts w:cstheme="majorBidi"/>
        </w:rPr>
      </w:pPr>
      <w:bookmarkStart w:id="0" w:name="_heading=h.cj0ipiglkoje"/>
      <w:bookmarkEnd w:id="0"/>
      <w:r w:rsidRPr="004D0354">
        <w:t xml:space="preserve">Assessment criterion 1: </w:t>
      </w:r>
      <w:r w:rsidR="003920F0" w:rsidRPr="004D0354">
        <w:t>International human rights obligations</w:t>
      </w:r>
    </w:p>
    <w:p w14:paraId="69D2CAE0" w14:textId="046D3060" w:rsidR="008B5588" w:rsidRPr="004D0354" w:rsidRDefault="003920F0" w:rsidP="008B5588">
      <w:pPr>
        <w:spacing w:line="276" w:lineRule="auto"/>
        <w:rPr>
          <w:rFonts w:eastAsia="Arial" w:cs="Arial"/>
          <w:szCs w:val="20"/>
        </w:rPr>
      </w:pPr>
      <w:r w:rsidRPr="004D0354">
        <w:t>P</w:t>
      </w:r>
      <w:r w:rsidR="00BC50E8" w:rsidRPr="004D0354">
        <w:t xml:space="preserve">arliament </w:t>
      </w:r>
      <w:r w:rsidRPr="004D0354">
        <w:t xml:space="preserve">has a mandate </w:t>
      </w:r>
      <w:r w:rsidR="00BC50E8" w:rsidRPr="004D0354">
        <w:t>to debate and ratify international human rights treaties, and to ensure that the national legal framework is consistent with international human rights obligations</w:t>
      </w:r>
      <w:r w:rsidR="008B5588" w:rsidRPr="004D0354">
        <w:t xml:space="preserve">. </w:t>
      </w:r>
    </w:p>
    <w:p w14:paraId="56BDF4DA" w14:textId="77777777" w:rsidR="008B5588" w:rsidRPr="004D0354" w:rsidRDefault="008B5588" w:rsidP="008B5588">
      <w:pPr>
        <w:spacing w:line="276" w:lineRule="auto"/>
        <w:rPr>
          <w:rFonts w:eastAsia="Arial" w:cs="Arial"/>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7E5D1E" w:rsidRPr="004D0354" w14:paraId="3696AEE0" w14:textId="77777777" w:rsidTr="007E5D1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E97E25" w14:textId="77777777" w:rsidR="007E5D1E" w:rsidRPr="004D0354" w:rsidRDefault="007E5D1E">
            <w:pPr>
              <w:jc w:val="center"/>
              <w:rPr>
                <w:szCs w:val="20"/>
              </w:rPr>
            </w:pPr>
            <w:r w:rsidRPr="004D0354">
              <w:t>Non-existent</w:t>
            </w:r>
          </w:p>
          <w:sdt>
            <w:sdtPr>
              <w:rPr>
                <w:rFonts w:eastAsia="Arimo"/>
                <w:szCs w:val="20"/>
              </w:rPr>
              <w:id w:val="-936057437"/>
              <w14:checkbox>
                <w14:checked w14:val="0"/>
                <w14:checkedState w14:val="2612" w14:font="MS Gothic"/>
                <w14:uncheckedState w14:val="2610" w14:font="MS Gothic"/>
              </w14:checkbox>
            </w:sdtPr>
            <w:sdtEndPr/>
            <w:sdtContent>
              <w:p w14:paraId="5F993E63" w14:textId="77777777" w:rsidR="007E5D1E" w:rsidRPr="004D0354" w:rsidRDefault="007E5D1E">
                <w:pPr>
                  <w:jc w:val="center"/>
                  <w:rPr>
                    <w:szCs w:val="20"/>
                  </w:rPr>
                </w:pPr>
                <w:r w:rsidRPr="004D0354">
                  <w:rPr>
                    <w:rFonts w:ascii="MS Gothic" w:eastAsia="MS Gothic" w:hAnsi="MS Gothic"/>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FB3A01" w14:textId="77777777" w:rsidR="007E5D1E" w:rsidRPr="004D0354" w:rsidRDefault="007E5D1E">
            <w:pPr>
              <w:jc w:val="center"/>
              <w:rPr>
                <w:szCs w:val="20"/>
              </w:rPr>
            </w:pPr>
            <w:r w:rsidRPr="004D0354">
              <w:t xml:space="preserve">Rudimentary </w:t>
            </w:r>
          </w:p>
          <w:sdt>
            <w:sdtPr>
              <w:rPr>
                <w:rFonts w:eastAsia="Arimo"/>
                <w:szCs w:val="20"/>
              </w:rPr>
              <w:id w:val="82197758"/>
              <w14:checkbox>
                <w14:checked w14:val="0"/>
                <w14:checkedState w14:val="2612" w14:font="MS Gothic"/>
                <w14:uncheckedState w14:val="2610" w14:font="MS Gothic"/>
              </w14:checkbox>
            </w:sdtPr>
            <w:sdtEndPr/>
            <w:sdtContent>
              <w:p w14:paraId="04ECEA45"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E40B7F" w14:textId="77777777" w:rsidR="007E5D1E" w:rsidRPr="004D0354" w:rsidRDefault="007E5D1E">
            <w:pPr>
              <w:jc w:val="center"/>
              <w:rPr>
                <w:szCs w:val="20"/>
              </w:rPr>
            </w:pPr>
            <w:r w:rsidRPr="004D0354">
              <w:t>Basic</w:t>
            </w:r>
          </w:p>
          <w:sdt>
            <w:sdtPr>
              <w:rPr>
                <w:rFonts w:eastAsia="Arimo"/>
                <w:szCs w:val="20"/>
              </w:rPr>
              <w:id w:val="818457573"/>
              <w14:checkbox>
                <w14:checked w14:val="0"/>
                <w14:checkedState w14:val="2612" w14:font="MS Gothic"/>
                <w14:uncheckedState w14:val="2610" w14:font="MS Gothic"/>
              </w14:checkbox>
            </w:sdtPr>
            <w:sdtEndPr/>
            <w:sdtContent>
              <w:p w14:paraId="3A99C3FB"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003A8B" w14:textId="77777777" w:rsidR="007E5D1E" w:rsidRPr="004D0354" w:rsidRDefault="007E5D1E">
            <w:pPr>
              <w:jc w:val="center"/>
              <w:rPr>
                <w:szCs w:val="20"/>
              </w:rPr>
            </w:pPr>
            <w:r w:rsidRPr="004D0354">
              <w:t>Good</w:t>
            </w:r>
          </w:p>
          <w:sdt>
            <w:sdtPr>
              <w:rPr>
                <w:rFonts w:eastAsia="Arimo"/>
                <w:szCs w:val="20"/>
              </w:rPr>
              <w:id w:val="-915010717"/>
              <w14:checkbox>
                <w14:checked w14:val="0"/>
                <w14:checkedState w14:val="2612" w14:font="MS Gothic"/>
                <w14:uncheckedState w14:val="2610" w14:font="MS Gothic"/>
              </w14:checkbox>
            </w:sdtPr>
            <w:sdtEndPr/>
            <w:sdtContent>
              <w:p w14:paraId="7BD2AF79" w14:textId="77777777" w:rsidR="007E5D1E" w:rsidRPr="004D0354" w:rsidRDefault="007E5D1E">
                <w:pPr>
                  <w:jc w:val="center"/>
                  <w:rPr>
                    <w:szCs w:val="20"/>
                  </w:rPr>
                </w:pPr>
                <w:r w:rsidRPr="004D0354">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A2B203" w14:textId="77777777" w:rsidR="007E5D1E" w:rsidRPr="004D0354" w:rsidRDefault="007E5D1E">
            <w:pPr>
              <w:jc w:val="center"/>
              <w:rPr>
                <w:szCs w:val="20"/>
              </w:rPr>
            </w:pPr>
            <w:r w:rsidRPr="004D0354">
              <w:t>Very good</w:t>
            </w:r>
          </w:p>
          <w:sdt>
            <w:sdtPr>
              <w:rPr>
                <w:rFonts w:eastAsia="Arimo"/>
                <w:szCs w:val="20"/>
              </w:rPr>
              <w:id w:val="563066639"/>
              <w14:checkbox>
                <w14:checked w14:val="0"/>
                <w14:checkedState w14:val="2612" w14:font="MS Gothic"/>
                <w14:uncheckedState w14:val="2610" w14:font="MS Gothic"/>
              </w14:checkbox>
            </w:sdtPr>
            <w:sdtEndPr/>
            <w:sdtContent>
              <w:p w14:paraId="6893FD12"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0608F88" w14:textId="77777777" w:rsidR="007E5D1E" w:rsidRPr="004D0354" w:rsidRDefault="007E5D1E">
            <w:pPr>
              <w:jc w:val="center"/>
              <w:rPr>
                <w:szCs w:val="20"/>
              </w:rPr>
            </w:pPr>
            <w:r w:rsidRPr="004D0354">
              <w:t>Excellent</w:t>
            </w:r>
          </w:p>
          <w:sdt>
            <w:sdtPr>
              <w:rPr>
                <w:rFonts w:eastAsia="Arimo"/>
                <w:szCs w:val="20"/>
              </w:rPr>
              <w:id w:val="676918795"/>
              <w14:checkbox>
                <w14:checked w14:val="0"/>
                <w14:checkedState w14:val="2612" w14:font="MS Gothic"/>
                <w14:uncheckedState w14:val="2610" w14:font="MS Gothic"/>
              </w14:checkbox>
            </w:sdtPr>
            <w:sdtEndPr/>
            <w:sdtContent>
              <w:p w14:paraId="636F0EC6"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r>
      <w:tr w:rsidR="007E5D1E" w:rsidRPr="004D0354" w14:paraId="374C44A0"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FA542" w14:textId="77777777" w:rsidR="007E5D1E" w:rsidRPr="004D0354" w:rsidRDefault="007E5D1E">
            <w:pPr>
              <w:rPr>
                <w:color w:val="005F9A"/>
                <w:szCs w:val="20"/>
              </w:rPr>
            </w:pPr>
            <w:r w:rsidRPr="004D0354">
              <w:rPr>
                <w:color w:val="005F9A"/>
              </w:rPr>
              <w:t>Evidence for this assessment criterion:</w:t>
            </w:r>
          </w:p>
          <w:p w14:paraId="4C33C5AB" w14:textId="77777777" w:rsidR="007E5D1E" w:rsidRPr="004D0354" w:rsidRDefault="007E5D1E">
            <w:pPr>
              <w:rPr>
                <w:color w:val="0000FF"/>
                <w:szCs w:val="20"/>
              </w:rPr>
            </w:pPr>
          </w:p>
          <w:p w14:paraId="79331226" w14:textId="77777777" w:rsidR="007E5D1E" w:rsidRPr="004D0354" w:rsidRDefault="007E5D1E">
            <w:pPr>
              <w:rPr>
                <w:color w:val="0000FF"/>
                <w:szCs w:val="20"/>
              </w:rPr>
            </w:pPr>
          </w:p>
        </w:tc>
      </w:tr>
    </w:tbl>
    <w:p w14:paraId="242D3FCD" w14:textId="0E649D4E" w:rsidR="008B5588" w:rsidRPr="004D0354" w:rsidRDefault="008B5588" w:rsidP="001030B6">
      <w:pPr>
        <w:pStyle w:val="Heading4"/>
      </w:pPr>
      <w:bookmarkStart w:id="1" w:name="_heading=h.yizmg9m1o66j"/>
      <w:bookmarkStart w:id="2" w:name="_heading=h.bsjt14u7o3fy"/>
      <w:bookmarkEnd w:id="1"/>
      <w:bookmarkEnd w:id="2"/>
      <w:r w:rsidRPr="004D0354">
        <w:t xml:space="preserve">Assessment criterion 2: </w:t>
      </w:r>
      <w:r w:rsidR="00CA1253" w:rsidRPr="004D0354">
        <w:t>Specialized committees</w:t>
      </w:r>
    </w:p>
    <w:p w14:paraId="76F562F4" w14:textId="4C489AB7" w:rsidR="008B5588" w:rsidRPr="004D0354" w:rsidRDefault="00DF4F0E" w:rsidP="008B5588">
      <w:pPr>
        <w:spacing w:line="276" w:lineRule="auto"/>
        <w:rPr>
          <w:rFonts w:eastAsia="Arial" w:cs="Arial"/>
          <w:szCs w:val="20"/>
        </w:rPr>
      </w:pPr>
      <w:r w:rsidRPr="004D0354">
        <w:t xml:space="preserve">Parliament has one or more specialized committees responsible for human rights, with powers to assess legislation and government policy and action, and to ensure their compatibility with human rights obligations. </w:t>
      </w:r>
    </w:p>
    <w:p w14:paraId="3EE20F6B" w14:textId="77777777" w:rsidR="008B5588" w:rsidRPr="004D0354" w:rsidRDefault="008B5588" w:rsidP="008B5588">
      <w:pPr>
        <w:spacing w:line="276" w:lineRule="auto"/>
        <w:rPr>
          <w:rFonts w:eastAsia="Arial" w:cs="Arial"/>
          <w:szCs w:val="20"/>
        </w:rPr>
      </w:pPr>
      <w:r w:rsidRPr="004D0354">
        <w:t xml:space="preserve"> </w:t>
      </w:r>
    </w:p>
    <w:tbl>
      <w:tblPr>
        <w:tblW w:w="5000" w:type="pct"/>
        <w:tblLook w:val="0400" w:firstRow="0" w:lastRow="0" w:firstColumn="0" w:lastColumn="0" w:noHBand="0" w:noVBand="1"/>
      </w:tblPr>
      <w:tblGrid>
        <w:gridCol w:w="1462"/>
        <w:gridCol w:w="1463"/>
        <w:gridCol w:w="1463"/>
        <w:gridCol w:w="1463"/>
        <w:gridCol w:w="1463"/>
        <w:gridCol w:w="1466"/>
      </w:tblGrid>
      <w:tr w:rsidR="007E5D1E" w:rsidRPr="004D0354" w14:paraId="6DDB68A1" w14:textId="77777777" w:rsidTr="007E5D1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555FE6" w14:textId="77777777" w:rsidR="007E5D1E" w:rsidRPr="004D0354" w:rsidRDefault="007E5D1E">
            <w:pPr>
              <w:jc w:val="center"/>
              <w:rPr>
                <w:szCs w:val="20"/>
              </w:rPr>
            </w:pPr>
            <w:bookmarkStart w:id="3" w:name="_heading=h.u5f58iyq0umz"/>
            <w:bookmarkEnd w:id="3"/>
            <w:r w:rsidRPr="004D0354">
              <w:t>Non-existent</w:t>
            </w:r>
          </w:p>
          <w:sdt>
            <w:sdtPr>
              <w:rPr>
                <w:rFonts w:eastAsia="Arimo"/>
                <w:szCs w:val="20"/>
              </w:rPr>
              <w:id w:val="1799410784"/>
              <w14:checkbox>
                <w14:checked w14:val="0"/>
                <w14:checkedState w14:val="2612" w14:font="MS Gothic"/>
                <w14:uncheckedState w14:val="2610" w14:font="MS Gothic"/>
              </w14:checkbox>
            </w:sdtPr>
            <w:sdtEndPr/>
            <w:sdtContent>
              <w:p w14:paraId="444CE1BB" w14:textId="77777777" w:rsidR="007E5D1E" w:rsidRPr="004D0354" w:rsidRDefault="007E5D1E">
                <w:pPr>
                  <w:jc w:val="center"/>
                  <w:rPr>
                    <w:szCs w:val="20"/>
                  </w:rPr>
                </w:pPr>
                <w:r w:rsidRPr="004D0354">
                  <w:rPr>
                    <w:rFonts w:ascii="MS Gothic" w:eastAsia="MS Gothic" w:hAnsi="MS Gothic"/>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7CA16B" w14:textId="77777777" w:rsidR="007E5D1E" w:rsidRPr="004D0354" w:rsidRDefault="007E5D1E">
            <w:pPr>
              <w:jc w:val="center"/>
              <w:rPr>
                <w:szCs w:val="20"/>
              </w:rPr>
            </w:pPr>
            <w:r w:rsidRPr="004D0354">
              <w:t xml:space="preserve">Rudimentary </w:t>
            </w:r>
          </w:p>
          <w:sdt>
            <w:sdtPr>
              <w:rPr>
                <w:rFonts w:eastAsia="Arimo"/>
                <w:szCs w:val="20"/>
              </w:rPr>
              <w:id w:val="-531807604"/>
              <w14:checkbox>
                <w14:checked w14:val="0"/>
                <w14:checkedState w14:val="2612" w14:font="MS Gothic"/>
                <w14:uncheckedState w14:val="2610" w14:font="MS Gothic"/>
              </w14:checkbox>
            </w:sdtPr>
            <w:sdtEndPr/>
            <w:sdtContent>
              <w:p w14:paraId="4C496195"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31778F" w14:textId="77777777" w:rsidR="007E5D1E" w:rsidRPr="004D0354" w:rsidRDefault="007E5D1E">
            <w:pPr>
              <w:jc w:val="center"/>
              <w:rPr>
                <w:szCs w:val="20"/>
              </w:rPr>
            </w:pPr>
            <w:r w:rsidRPr="004D0354">
              <w:t>Basic</w:t>
            </w:r>
          </w:p>
          <w:sdt>
            <w:sdtPr>
              <w:rPr>
                <w:rFonts w:eastAsia="Arimo"/>
                <w:szCs w:val="20"/>
              </w:rPr>
              <w:id w:val="1136149633"/>
              <w14:checkbox>
                <w14:checked w14:val="0"/>
                <w14:checkedState w14:val="2612" w14:font="MS Gothic"/>
                <w14:uncheckedState w14:val="2610" w14:font="MS Gothic"/>
              </w14:checkbox>
            </w:sdtPr>
            <w:sdtEndPr/>
            <w:sdtContent>
              <w:p w14:paraId="22C4680A"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D81F39" w14:textId="77777777" w:rsidR="007E5D1E" w:rsidRPr="004D0354" w:rsidRDefault="007E5D1E">
            <w:pPr>
              <w:jc w:val="center"/>
              <w:rPr>
                <w:szCs w:val="20"/>
              </w:rPr>
            </w:pPr>
            <w:r w:rsidRPr="004D0354">
              <w:t>Good</w:t>
            </w:r>
          </w:p>
          <w:sdt>
            <w:sdtPr>
              <w:rPr>
                <w:rFonts w:eastAsia="Arimo"/>
                <w:szCs w:val="20"/>
              </w:rPr>
              <w:id w:val="1843193030"/>
              <w14:checkbox>
                <w14:checked w14:val="0"/>
                <w14:checkedState w14:val="2612" w14:font="MS Gothic"/>
                <w14:uncheckedState w14:val="2610" w14:font="MS Gothic"/>
              </w14:checkbox>
            </w:sdtPr>
            <w:sdtEndPr/>
            <w:sdtContent>
              <w:p w14:paraId="7532B481" w14:textId="77777777" w:rsidR="007E5D1E" w:rsidRPr="004D0354" w:rsidRDefault="007E5D1E">
                <w:pPr>
                  <w:jc w:val="center"/>
                  <w:rPr>
                    <w:szCs w:val="20"/>
                  </w:rPr>
                </w:pPr>
                <w:r w:rsidRPr="004D0354">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43C129" w14:textId="77777777" w:rsidR="007E5D1E" w:rsidRPr="004D0354" w:rsidRDefault="007E5D1E">
            <w:pPr>
              <w:jc w:val="center"/>
              <w:rPr>
                <w:szCs w:val="20"/>
              </w:rPr>
            </w:pPr>
            <w:r w:rsidRPr="004D0354">
              <w:t>Very good</w:t>
            </w:r>
          </w:p>
          <w:sdt>
            <w:sdtPr>
              <w:rPr>
                <w:rFonts w:eastAsia="Arimo"/>
                <w:szCs w:val="20"/>
              </w:rPr>
              <w:id w:val="-74047616"/>
              <w14:checkbox>
                <w14:checked w14:val="0"/>
                <w14:checkedState w14:val="2612" w14:font="MS Gothic"/>
                <w14:uncheckedState w14:val="2610" w14:font="MS Gothic"/>
              </w14:checkbox>
            </w:sdtPr>
            <w:sdtEndPr/>
            <w:sdtContent>
              <w:p w14:paraId="035604F6"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08F449" w14:textId="77777777" w:rsidR="007E5D1E" w:rsidRPr="004D0354" w:rsidRDefault="007E5D1E">
            <w:pPr>
              <w:jc w:val="center"/>
              <w:rPr>
                <w:szCs w:val="20"/>
              </w:rPr>
            </w:pPr>
            <w:r w:rsidRPr="004D0354">
              <w:t>Excellent</w:t>
            </w:r>
          </w:p>
          <w:sdt>
            <w:sdtPr>
              <w:rPr>
                <w:rFonts w:eastAsia="Arimo"/>
                <w:szCs w:val="20"/>
              </w:rPr>
              <w:id w:val="-1303846311"/>
              <w14:checkbox>
                <w14:checked w14:val="0"/>
                <w14:checkedState w14:val="2612" w14:font="MS Gothic"/>
                <w14:uncheckedState w14:val="2610" w14:font="MS Gothic"/>
              </w14:checkbox>
            </w:sdtPr>
            <w:sdtEndPr/>
            <w:sdtContent>
              <w:p w14:paraId="709060B8"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r>
      <w:tr w:rsidR="007E5D1E" w:rsidRPr="004D0354" w14:paraId="78388918"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9D703" w14:textId="77777777" w:rsidR="007E5D1E" w:rsidRPr="004D0354" w:rsidRDefault="007E5D1E">
            <w:pPr>
              <w:rPr>
                <w:color w:val="005F9A"/>
                <w:szCs w:val="20"/>
              </w:rPr>
            </w:pPr>
            <w:r w:rsidRPr="004D0354">
              <w:rPr>
                <w:color w:val="005F9A"/>
              </w:rPr>
              <w:t>Evidence for this assessment criterion:</w:t>
            </w:r>
          </w:p>
          <w:p w14:paraId="4CCA3E91" w14:textId="77777777" w:rsidR="007E5D1E" w:rsidRPr="004D0354" w:rsidRDefault="007E5D1E">
            <w:pPr>
              <w:rPr>
                <w:color w:val="0000FF"/>
                <w:szCs w:val="20"/>
              </w:rPr>
            </w:pPr>
          </w:p>
          <w:p w14:paraId="05CF2E86" w14:textId="77777777" w:rsidR="007E5D1E" w:rsidRPr="004D0354" w:rsidRDefault="007E5D1E">
            <w:pPr>
              <w:rPr>
                <w:color w:val="0000FF"/>
                <w:szCs w:val="20"/>
              </w:rPr>
            </w:pPr>
          </w:p>
        </w:tc>
      </w:tr>
    </w:tbl>
    <w:p w14:paraId="6CF3BA20" w14:textId="706AA0ED" w:rsidR="008B5588" w:rsidRPr="004D0354" w:rsidRDefault="008B5588" w:rsidP="001030B6">
      <w:pPr>
        <w:pStyle w:val="Heading4"/>
      </w:pPr>
      <w:r w:rsidRPr="004D0354">
        <w:t>Assessment criterion 3: NHRI</w:t>
      </w:r>
    </w:p>
    <w:p w14:paraId="5D38415A" w14:textId="098FC216" w:rsidR="008B5588" w:rsidRPr="004D0354" w:rsidRDefault="00B53540" w:rsidP="008B5588">
      <w:pPr>
        <w:spacing w:line="276" w:lineRule="auto"/>
        <w:rPr>
          <w:rFonts w:eastAsia="Arial" w:cs="Arial"/>
          <w:color w:val="000000"/>
          <w:szCs w:val="20"/>
        </w:rPr>
      </w:pPr>
      <w:r w:rsidRPr="004D0354">
        <w:t xml:space="preserve">The NHRI is established in law and has the necessary mandate and resources to carry out its work. Its relationship with parliament is in line with the </w:t>
      </w:r>
      <w:r w:rsidRPr="004D0354">
        <w:rPr>
          <w:i/>
          <w:iCs/>
        </w:rPr>
        <w:t xml:space="preserve">Belgrade </w:t>
      </w:r>
      <w:r w:rsidR="008F7C06" w:rsidRPr="004D0354">
        <w:rPr>
          <w:i/>
          <w:iCs/>
        </w:rPr>
        <w:t>principles on the relationship between national human rights institutions and parliaments</w:t>
      </w:r>
      <w:r w:rsidR="008B5588" w:rsidRPr="004D0354">
        <w:rPr>
          <w:color w:val="000000"/>
        </w:rPr>
        <w:t xml:space="preserve">. </w:t>
      </w:r>
    </w:p>
    <w:p w14:paraId="523010E8" w14:textId="77777777" w:rsidR="008B5588" w:rsidRPr="004D0354" w:rsidRDefault="008B5588" w:rsidP="008B5588">
      <w:pPr>
        <w:spacing w:line="276" w:lineRule="auto"/>
        <w:rPr>
          <w:rFonts w:eastAsia="Arial" w:cs="Arial"/>
          <w:color w:val="00000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7E5D1E" w:rsidRPr="004D0354" w14:paraId="1A35F40B" w14:textId="77777777" w:rsidTr="007E5D1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16129C" w14:textId="77777777" w:rsidR="007E5D1E" w:rsidRPr="004D0354" w:rsidRDefault="007E5D1E">
            <w:pPr>
              <w:jc w:val="center"/>
              <w:rPr>
                <w:szCs w:val="20"/>
              </w:rPr>
            </w:pPr>
            <w:r w:rsidRPr="004D0354">
              <w:t>Non-existent</w:t>
            </w:r>
          </w:p>
          <w:sdt>
            <w:sdtPr>
              <w:rPr>
                <w:rFonts w:eastAsia="Arimo"/>
                <w:szCs w:val="20"/>
              </w:rPr>
              <w:id w:val="993998263"/>
              <w14:checkbox>
                <w14:checked w14:val="0"/>
                <w14:checkedState w14:val="2612" w14:font="MS Gothic"/>
                <w14:uncheckedState w14:val="2610" w14:font="MS Gothic"/>
              </w14:checkbox>
            </w:sdtPr>
            <w:sdtEndPr/>
            <w:sdtContent>
              <w:p w14:paraId="0ED4EA94" w14:textId="77777777" w:rsidR="007E5D1E" w:rsidRPr="004D0354" w:rsidRDefault="007E5D1E">
                <w:pPr>
                  <w:jc w:val="center"/>
                  <w:rPr>
                    <w:szCs w:val="20"/>
                  </w:rPr>
                </w:pPr>
                <w:r w:rsidRPr="004D0354">
                  <w:rPr>
                    <w:rFonts w:ascii="MS Gothic" w:eastAsia="MS Gothic" w:hAnsi="MS Gothic"/>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37E591" w14:textId="77777777" w:rsidR="007E5D1E" w:rsidRPr="004D0354" w:rsidRDefault="007E5D1E">
            <w:pPr>
              <w:jc w:val="center"/>
              <w:rPr>
                <w:szCs w:val="20"/>
              </w:rPr>
            </w:pPr>
            <w:r w:rsidRPr="004D0354">
              <w:t xml:space="preserve">Rudimentary </w:t>
            </w:r>
          </w:p>
          <w:sdt>
            <w:sdtPr>
              <w:rPr>
                <w:rFonts w:eastAsia="Arimo"/>
                <w:szCs w:val="20"/>
              </w:rPr>
              <w:id w:val="194056710"/>
              <w14:checkbox>
                <w14:checked w14:val="0"/>
                <w14:checkedState w14:val="2612" w14:font="MS Gothic"/>
                <w14:uncheckedState w14:val="2610" w14:font="MS Gothic"/>
              </w14:checkbox>
            </w:sdtPr>
            <w:sdtEndPr/>
            <w:sdtContent>
              <w:p w14:paraId="106EAF30"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43912B" w14:textId="77777777" w:rsidR="007E5D1E" w:rsidRPr="004D0354" w:rsidRDefault="007E5D1E">
            <w:pPr>
              <w:jc w:val="center"/>
              <w:rPr>
                <w:szCs w:val="20"/>
              </w:rPr>
            </w:pPr>
            <w:r w:rsidRPr="004D0354">
              <w:t>Basic</w:t>
            </w:r>
          </w:p>
          <w:sdt>
            <w:sdtPr>
              <w:rPr>
                <w:rFonts w:eastAsia="Arimo"/>
                <w:szCs w:val="20"/>
              </w:rPr>
              <w:id w:val="-1088925484"/>
              <w14:checkbox>
                <w14:checked w14:val="0"/>
                <w14:checkedState w14:val="2612" w14:font="MS Gothic"/>
                <w14:uncheckedState w14:val="2610" w14:font="MS Gothic"/>
              </w14:checkbox>
            </w:sdtPr>
            <w:sdtEndPr/>
            <w:sdtContent>
              <w:p w14:paraId="1824D219"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9CDAC1" w14:textId="77777777" w:rsidR="007E5D1E" w:rsidRPr="004D0354" w:rsidRDefault="007E5D1E">
            <w:pPr>
              <w:jc w:val="center"/>
              <w:rPr>
                <w:szCs w:val="20"/>
              </w:rPr>
            </w:pPr>
            <w:r w:rsidRPr="004D0354">
              <w:t>Good</w:t>
            </w:r>
          </w:p>
          <w:sdt>
            <w:sdtPr>
              <w:rPr>
                <w:rFonts w:eastAsia="Arimo"/>
                <w:szCs w:val="20"/>
              </w:rPr>
              <w:id w:val="867646152"/>
              <w14:checkbox>
                <w14:checked w14:val="0"/>
                <w14:checkedState w14:val="2612" w14:font="MS Gothic"/>
                <w14:uncheckedState w14:val="2610" w14:font="MS Gothic"/>
              </w14:checkbox>
            </w:sdtPr>
            <w:sdtEndPr/>
            <w:sdtContent>
              <w:p w14:paraId="37810301" w14:textId="77777777" w:rsidR="007E5D1E" w:rsidRPr="004D0354" w:rsidRDefault="007E5D1E">
                <w:pPr>
                  <w:jc w:val="center"/>
                  <w:rPr>
                    <w:szCs w:val="20"/>
                  </w:rPr>
                </w:pPr>
                <w:r w:rsidRPr="004D0354">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5D1A46" w14:textId="77777777" w:rsidR="007E5D1E" w:rsidRPr="004D0354" w:rsidRDefault="007E5D1E">
            <w:pPr>
              <w:jc w:val="center"/>
              <w:rPr>
                <w:szCs w:val="20"/>
              </w:rPr>
            </w:pPr>
            <w:r w:rsidRPr="004D0354">
              <w:t>Very good</w:t>
            </w:r>
          </w:p>
          <w:sdt>
            <w:sdtPr>
              <w:rPr>
                <w:rFonts w:eastAsia="Arimo"/>
                <w:szCs w:val="20"/>
              </w:rPr>
              <w:id w:val="1364865018"/>
              <w14:checkbox>
                <w14:checked w14:val="0"/>
                <w14:checkedState w14:val="2612" w14:font="MS Gothic"/>
                <w14:uncheckedState w14:val="2610" w14:font="MS Gothic"/>
              </w14:checkbox>
            </w:sdtPr>
            <w:sdtEndPr/>
            <w:sdtContent>
              <w:p w14:paraId="6DC5D242"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201E4B" w14:textId="77777777" w:rsidR="007E5D1E" w:rsidRPr="004D0354" w:rsidRDefault="007E5D1E">
            <w:pPr>
              <w:jc w:val="center"/>
              <w:rPr>
                <w:szCs w:val="20"/>
              </w:rPr>
            </w:pPr>
            <w:r w:rsidRPr="004D0354">
              <w:t>Excellent</w:t>
            </w:r>
          </w:p>
          <w:sdt>
            <w:sdtPr>
              <w:rPr>
                <w:rFonts w:eastAsia="Arimo"/>
                <w:szCs w:val="20"/>
              </w:rPr>
              <w:id w:val="-933735905"/>
              <w14:checkbox>
                <w14:checked w14:val="0"/>
                <w14:checkedState w14:val="2612" w14:font="MS Gothic"/>
                <w14:uncheckedState w14:val="2610" w14:font="MS Gothic"/>
              </w14:checkbox>
            </w:sdtPr>
            <w:sdtEndPr/>
            <w:sdtContent>
              <w:p w14:paraId="403707E0"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r>
      <w:tr w:rsidR="007E5D1E" w:rsidRPr="004D0354" w14:paraId="069A0CE7"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01168" w14:textId="77777777" w:rsidR="007E5D1E" w:rsidRPr="004D0354" w:rsidRDefault="007E5D1E">
            <w:pPr>
              <w:rPr>
                <w:color w:val="005F9A"/>
                <w:szCs w:val="20"/>
              </w:rPr>
            </w:pPr>
            <w:r w:rsidRPr="004D0354">
              <w:rPr>
                <w:color w:val="005F9A"/>
              </w:rPr>
              <w:lastRenderedPageBreak/>
              <w:t>Evidence for this assessment criterion:</w:t>
            </w:r>
          </w:p>
          <w:p w14:paraId="09087A3B" w14:textId="77777777" w:rsidR="007E5D1E" w:rsidRPr="004D0354" w:rsidRDefault="007E5D1E">
            <w:pPr>
              <w:rPr>
                <w:color w:val="0000FF"/>
                <w:szCs w:val="20"/>
              </w:rPr>
            </w:pPr>
          </w:p>
          <w:p w14:paraId="2545ECCC" w14:textId="77777777" w:rsidR="007E5D1E" w:rsidRPr="004D0354" w:rsidRDefault="007E5D1E">
            <w:pPr>
              <w:rPr>
                <w:color w:val="0000FF"/>
                <w:szCs w:val="20"/>
              </w:rPr>
            </w:pPr>
          </w:p>
        </w:tc>
      </w:tr>
    </w:tbl>
    <w:p w14:paraId="4BAEC0BC" w14:textId="77777777" w:rsidR="0082775D" w:rsidRPr="004D0354" w:rsidRDefault="0082775D" w:rsidP="004D0354">
      <w:bookmarkStart w:id="4" w:name="_heading=h.a0gf1y2pg08r"/>
      <w:bookmarkEnd w:id="4"/>
    </w:p>
    <w:p w14:paraId="2E7BA6AB" w14:textId="035CCF2A" w:rsidR="008B5588" w:rsidRPr="004D0354" w:rsidRDefault="008B5588" w:rsidP="001030B6">
      <w:pPr>
        <w:pStyle w:val="Heading4"/>
      </w:pPr>
      <w:r w:rsidRPr="004D0354">
        <w:t xml:space="preserve">Assessment criterion </w:t>
      </w:r>
      <w:r w:rsidR="003920F0" w:rsidRPr="004D0354">
        <w:t>4</w:t>
      </w:r>
      <w:r w:rsidRPr="004D0354">
        <w:t xml:space="preserve">: </w:t>
      </w:r>
      <w:r w:rsidR="003A4582" w:rsidRPr="004D0354">
        <w:t xml:space="preserve">Engagement </w:t>
      </w:r>
      <w:r w:rsidRPr="004D0354">
        <w:t xml:space="preserve">with UN human rights mechanisms </w:t>
      </w:r>
    </w:p>
    <w:p w14:paraId="58B5B2C1" w14:textId="3DDE6538" w:rsidR="008B5588" w:rsidRPr="004D0354" w:rsidRDefault="0082775D" w:rsidP="004D0354">
      <w:pPr>
        <w:rPr>
          <w:rFonts w:eastAsia="Arial" w:cs="Arial"/>
          <w:szCs w:val="20"/>
        </w:rPr>
      </w:pPr>
      <w:r w:rsidRPr="004D0354">
        <w:rPr>
          <w:rFonts w:eastAsia="Arial" w:cs="Arial"/>
          <w:szCs w:val="20"/>
        </w:rPr>
        <w:t>Parliament has a clear role</w:t>
      </w:r>
      <w:r w:rsidRPr="004D0354">
        <w:rPr>
          <w:rFonts w:eastAsia="Arial" w:cs="Arial"/>
          <w:color w:val="000000"/>
          <w:szCs w:val="20"/>
        </w:rPr>
        <w:t xml:space="preserve"> in the different stages of the reporting procedures to the UN Human Rights Council under its </w:t>
      </w:r>
      <w:r w:rsidR="00896968" w:rsidRPr="004D0354">
        <w:rPr>
          <w:rFonts w:eastAsia="Arial" w:cs="Arial"/>
          <w:color w:val="000000"/>
          <w:szCs w:val="20"/>
        </w:rPr>
        <w:t>u</w:t>
      </w:r>
      <w:r w:rsidRPr="004D0354">
        <w:rPr>
          <w:rFonts w:eastAsia="Arial" w:cs="Arial"/>
          <w:color w:val="000000"/>
          <w:szCs w:val="20"/>
        </w:rPr>
        <w:t xml:space="preserve">niversal </w:t>
      </w:r>
      <w:r w:rsidR="00896968" w:rsidRPr="004D0354">
        <w:rPr>
          <w:rFonts w:eastAsia="Arial" w:cs="Arial"/>
          <w:color w:val="000000"/>
          <w:szCs w:val="20"/>
        </w:rPr>
        <w:t>p</w:t>
      </w:r>
      <w:r w:rsidRPr="004D0354">
        <w:rPr>
          <w:rFonts w:eastAsia="Arial" w:cs="Arial"/>
          <w:color w:val="000000"/>
          <w:szCs w:val="20"/>
        </w:rPr>
        <w:t xml:space="preserve">eriodic </w:t>
      </w:r>
      <w:r w:rsidR="00896968" w:rsidRPr="004D0354">
        <w:rPr>
          <w:rFonts w:eastAsia="Arial" w:cs="Arial"/>
          <w:color w:val="000000"/>
          <w:szCs w:val="20"/>
        </w:rPr>
        <w:t>r</w:t>
      </w:r>
      <w:r w:rsidRPr="004D0354">
        <w:rPr>
          <w:rFonts w:eastAsia="Arial" w:cs="Arial"/>
          <w:color w:val="000000"/>
          <w:szCs w:val="20"/>
        </w:rPr>
        <w:t xml:space="preserve">eview and to the UN human rights treaty bodies. It contributes to the </w:t>
      </w:r>
      <w:r w:rsidR="003A4582" w:rsidRPr="004D0354">
        <w:rPr>
          <w:color w:val="000000"/>
        </w:rPr>
        <w:t>preparation and presentation of national reports and the implementation of subsequent recommendations</w:t>
      </w:r>
      <w:r w:rsidR="008B5588" w:rsidRPr="004D0354">
        <w:t xml:space="preserve">. </w:t>
      </w:r>
    </w:p>
    <w:p w14:paraId="4D977EA3" w14:textId="77777777" w:rsidR="008B5588" w:rsidRPr="004D0354" w:rsidRDefault="008B5588" w:rsidP="008B5588">
      <w:pPr>
        <w:spacing w:line="276" w:lineRule="auto"/>
        <w:rPr>
          <w:rFonts w:eastAsia="Arial" w:cs="Arial"/>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7E5D1E" w:rsidRPr="004D0354" w14:paraId="72A757E9" w14:textId="77777777" w:rsidTr="003920F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D34628" w14:textId="77777777" w:rsidR="007E5D1E" w:rsidRPr="004D0354" w:rsidRDefault="007E5D1E">
            <w:pPr>
              <w:jc w:val="center"/>
              <w:rPr>
                <w:szCs w:val="20"/>
              </w:rPr>
            </w:pPr>
            <w:r w:rsidRPr="004D0354">
              <w:t>Non-existent</w:t>
            </w:r>
          </w:p>
          <w:sdt>
            <w:sdtPr>
              <w:rPr>
                <w:rFonts w:eastAsia="Arimo"/>
                <w:szCs w:val="20"/>
              </w:rPr>
              <w:id w:val="1501235645"/>
              <w14:checkbox>
                <w14:checked w14:val="0"/>
                <w14:checkedState w14:val="2612" w14:font="MS Gothic"/>
                <w14:uncheckedState w14:val="2610" w14:font="MS Gothic"/>
              </w14:checkbox>
            </w:sdtPr>
            <w:sdtEndPr/>
            <w:sdtContent>
              <w:p w14:paraId="2E375176" w14:textId="77777777" w:rsidR="007E5D1E" w:rsidRPr="004D0354" w:rsidRDefault="007E5D1E">
                <w:pPr>
                  <w:jc w:val="center"/>
                  <w:rPr>
                    <w:szCs w:val="20"/>
                  </w:rPr>
                </w:pPr>
                <w:r w:rsidRPr="004D0354">
                  <w:rPr>
                    <w:rFonts w:ascii="MS Gothic" w:eastAsia="MS Gothic" w:hAnsi="MS Gothic"/>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3CE91F" w14:textId="77777777" w:rsidR="007E5D1E" w:rsidRPr="004D0354" w:rsidRDefault="007E5D1E">
            <w:pPr>
              <w:jc w:val="center"/>
              <w:rPr>
                <w:szCs w:val="20"/>
              </w:rPr>
            </w:pPr>
            <w:r w:rsidRPr="004D0354">
              <w:t xml:space="preserve">Rudimentary </w:t>
            </w:r>
          </w:p>
          <w:sdt>
            <w:sdtPr>
              <w:rPr>
                <w:rFonts w:eastAsia="Arimo"/>
                <w:szCs w:val="20"/>
              </w:rPr>
              <w:id w:val="-240247042"/>
              <w14:checkbox>
                <w14:checked w14:val="0"/>
                <w14:checkedState w14:val="2612" w14:font="MS Gothic"/>
                <w14:uncheckedState w14:val="2610" w14:font="MS Gothic"/>
              </w14:checkbox>
            </w:sdtPr>
            <w:sdtEndPr/>
            <w:sdtContent>
              <w:p w14:paraId="0AC80828"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ED9B5B" w14:textId="77777777" w:rsidR="007E5D1E" w:rsidRPr="004D0354" w:rsidRDefault="007E5D1E">
            <w:pPr>
              <w:jc w:val="center"/>
              <w:rPr>
                <w:szCs w:val="20"/>
              </w:rPr>
            </w:pPr>
            <w:r w:rsidRPr="004D0354">
              <w:t>Basic</w:t>
            </w:r>
          </w:p>
          <w:sdt>
            <w:sdtPr>
              <w:rPr>
                <w:rFonts w:eastAsia="Arimo"/>
                <w:szCs w:val="20"/>
              </w:rPr>
              <w:id w:val="1342275531"/>
              <w14:checkbox>
                <w14:checked w14:val="0"/>
                <w14:checkedState w14:val="2612" w14:font="MS Gothic"/>
                <w14:uncheckedState w14:val="2610" w14:font="MS Gothic"/>
              </w14:checkbox>
            </w:sdtPr>
            <w:sdtEndPr/>
            <w:sdtContent>
              <w:p w14:paraId="546DCE12"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87647B" w14:textId="77777777" w:rsidR="007E5D1E" w:rsidRPr="004D0354" w:rsidRDefault="007E5D1E">
            <w:pPr>
              <w:jc w:val="center"/>
              <w:rPr>
                <w:szCs w:val="20"/>
              </w:rPr>
            </w:pPr>
            <w:r w:rsidRPr="004D0354">
              <w:t>Good</w:t>
            </w:r>
          </w:p>
          <w:sdt>
            <w:sdtPr>
              <w:rPr>
                <w:rFonts w:eastAsia="Arimo"/>
                <w:szCs w:val="20"/>
              </w:rPr>
              <w:id w:val="-636646254"/>
              <w14:checkbox>
                <w14:checked w14:val="0"/>
                <w14:checkedState w14:val="2612" w14:font="MS Gothic"/>
                <w14:uncheckedState w14:val="2610" w14:font="MS Gothic"/>
              </w14:checkbox>
            </w:sdtPr>
            <w:sdtEndPr/>
            <w:sdtContent>
              <w:p w14:paraId="4C26714A" w14:textId="77777777" w:rsidR="007E5D1E" w:rsidRPr="004D0354" w:rsidRDefault="007E5D1E">
                <w:pPr>
                  <w:jc w:val="center"/>
                  <w:rPr>
                    <w:szCs w:val="20"/>
                  </w:rPr>
                </w:pPr>
                <w:r w:rsidRPr="004D0354">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D4FCF8" w14:textId="77777777" w:rsidR="007E5D1E" w:rsidRPr="004D0354" w:rsidRDefault="007E5D1E">
            <w:pPr>
              <w:jc w:val="center"/>
              <w:rPr>
                <w:szCs w:val="20"/>
              </w:rPr>
            </w:pPr>
            <w:r w:rsidRPr="004D0354">
              <w:t>Very good</w:t>
            </w:r>
          </w:p>
          <w:sdt>
            <w:sdtPr>
              <w:rPr>
                <w:rFonts w:eastAsia="Arimo"/>
                <w:szCs w:val="20"/>
              </w:rPr>
              <w:id w:val="289481580"/>
              <w14:checkbox>
                <w14:checked w14:val="0"/>
                <w14:checkedState w14:val="2612" w14:font="MS Gothic"/>
                <w14:uncheckedState w14:val="2610" w14:font="MS Gothic"/>
              </w14:checkbox>
            </w:sdtPr>
            <w:sdtEndPr/>
            <w:sdtContent>
              <w:p w14:paraId="7AF9B52B"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8A83538" w14:textId="77777777" w:rsidR="007E5D1E" w:rsidRPr="004D0354" w:rsidRDefault="007E5D1E">
            <w:pPr>
              <w:jc w:val="center"/>
              <w:rPr>
                <w:szCs w:val="20"/>
              </w:rPr>
            </w:pPr>
            <w:r w:rsidRPr="004D0354">
              <w:t>Excellent</w:t>
            </w:r>
          </w:p>
          <w:sdt>
            <w:sdtPr>
              <w:rPr>
                <w:rFonts w:eastAsia="Arimo"/>
                <w:szCs w:val="20"/>
              </w:rPr>
              <w:id w:val="736745746"/>
              <w14:checkbox>
                <w14:checked w14:val="0"/>
                <w14:checkedState w14:val="2612" w14:font="MS Gothic"/>
                <w14:uncheckedState w14:val="2610" w14:font="MS Gothic"/>
              </w14:checkbox>
            </w:sdtPr>
            <w:sdtEndPr/>
            <w:sdtContent>
              <w:p w14:paraId="480E9643" w14:textId="77777777" w:rsidR="007E5D1E" w:rsidRPr="004D0354" w:rsidRDefault="007E5D1E">
                <w:pPr>
                  <w:jc w:val="center"/>
                  <w:rPr>
                    <w:szCs w:val="20"/>
                  </w:rPr>
                </w:pPr>
                <w:r w:rsidRPr="004D0354">
                  <w:rPr>
                    <w:rFonts w:ascii="Segoe UI Symbol" w:eastAsia="Arimo" w:hAnsi="Segoe UI Symbol" w:cs="Segoe UI Symbol"/>
                    <w:szCs w:val="20"/>
                  </w:rPr>
                  <w:t>☐</w:t>
                </w:r>
              </w:p>
            </w:sdtContent>
          </w:sdt>
        </w:tc>
      </w:tr>
      <w:tr w:rsidR="007E5D1E" w:rsidRPr="004D0354" w14:paraId="226F2098"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4821A" w14:textId="77777777" w:rsidR="007E5D1E" w:rsidRPr="004D0354" w:rsidRDefault="007E5D1E">
            <w:pPr>
              <w:rPr>
                <w:color w:val="005F9A"/>
                <w:szCs w:val="20"/>
              </w:rPr>
            </w:pPr>
            <w:r w:rsidRPr="004D0354">
              <w:rPr>
                <w:color w:val="005F9A"/>
              </w:rPr>
              <w:t>Evidence for this assessment criterion:</w:t>
            </w:r>
          </w:p>
          <w:p w14:paraId="115FEE0C" w14:textId="77777777" w:rsidR="007E5D1E" w:rsidRPr="004D0354" w:rsidRDefault="007E5D1E">
            <w:pPr>
              <w:rPr>
                <w:color w:val="0000FF"/>
                <w:szCs w:val="20"/>
              </w:rPr>
            </w:pPr>
          </w:p>
          <w:p w14:paraId="283C0A98" w14:textId="77777777" w:rsidR="007E5D1E" w:rsidRPr="004D0354" w:rsidRDefault="007E5D1E">
            <w:pPr>
              <w:rPr>
                <w:color w:val="0000FF"/>
                <w:szCs w:val="20"/>
              </w:rPr>
            </w:pPr>
          </w:p>
        </w:tc>
      </w:tr>
    </w:tbl>
    <w:p w14:paraId="63AAB3AC" w14:textId="03D9A49D" w:rsidR="003920F0" w:rsidRPr="004D0354" w:rsidRDefault="003920F0" w:rsidP="001030B6">
      <w:pPr>
        <w:pStyle w:val="Heading4"/>
      </w:pPr>
      <w:r w:rsidRPr="004D0354">
        <w:t>Assessment criterion 5: Practice</w:t>
      </w:r>
    </w:p>
    <w:p w14:paraId="26BBC7FE" w14:textId="4FF4B1F1" w:rsidR="003920F0" w:rsidRPr="004D0354" w:rsidRDefault="003920F0" w:rsidP="003920F0">
      <w:pPr>
        <w:spacing w:line="276" w:lineRule="auto"/>
        <w:rPr>
          <w:rFonts w:eastAsia="Arial" w:cs="Arial"/>
          <w:szCs w:val="20"/>
        </w:rPr>
      </w:pPr>
      <w:r w:rsidRPr="004D0354">
        <w:t xml:space="preserve">In practice, human rights are mainstreamed throughout parliamentary work. Parliament interacts on a regular basis with NHRIs, CSOs and UN human rights mechanisms. </w:t>
      </w:r>
    </w:p>
    <w:p w14:paraId="0CF43471" w14:textId="77777777" w:rsidR="003920F0" w:rsidRPr="004D0354" w:rsidRDefault="003920F0" w:rsidP="003920F0">
      <w:pPr>
        <w:spacing w:line="276" w:lineRule="auto"/>
        <w:rPr>
          <w:rFonts w:eastAsia="Arial" w:cs="Arial"/>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3920F0" w:rsidRPr="004D0354" w14:paraId="2FF5DA36" w14:textId="77777777" w:rsidTr="001F1B5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8C8C60" w14:textId="77777777" w:rsidR="003920F0" w:rsidRPr="004D0354" w:rsidRDefault="003920F0" w:rsidP="001F1B55">
            <w:pPr>
              <w:jc w:val="center"/>
              <w:rPr>
                <w:szCs w:val="20"/>
              </w:rPr>
            </w:pPr>
            <w:r w:rsidRPr="004D0354">
              <w:t>Non-existent</w:t>
            </w:r>
          </w:p>
          <w:sdt>
            <w:sdtPr>
              <w:rPr>
                <w:rFonts w:eastAsia="Arimo"/>
                <w:szCs w:val="20"/>
              </w:rPr>
              <w:id w:val="-1151982262"/>
              <w14:checkbox>
                <w14:checked w14:val="0"/>
                <w14:checkedState w14:val="2612" w14:font="MS Gothic"/>
                <w14:uncheckedState w14:val="2610" w14:font="MS Gothic"/>
              </w14:checkbox>
            </w:sdtPr>
            <w:sdtEndPr/>
            <w:sdtContent>
              <w:p w14:paraId="1DF1F0A1" w14:textId="77777777" w:rsidR="003920F0" w:rsidRPr="004D0354" w:rsidRDefault="003920F0" w:rsidP="001F1B55">
                <w:pPr>
                  <w:jc w:val="center"/>
                  <w:rPr>
                    <w:szCs w:val="20"/>
                  </w:rPr>
                </w:pPr>
                <w:r w:rsidRPr="004D0354">
                  <w:rPr>
                    <w:rFonts w:ascii="MS Gothic" w:eastAsia="MS Gothic" w:hAnsi="MS Gothic"/>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A91B57" w14:textId="77777777" w:rsidR="003920F0" w:rsidRPr="004D0354" w:rsidRDefault="003920F0" w:rsidP="001F1B55">
            <w:pPr>
              <w:jc w:val="center"/>
              <w:rPr>
                <w:szCs w:val="20"/>
              </w:rPr>
            </w:pPr>
            <w:r w:rsidRPr="004D0354">
              <w:t xml:space="preserve">Rudimentary </w:t>
            </w:r>
          </w:p>
          <w:sdt>
            <w:sdtPr>
              <w:rPr>
                <w:rFonts w:eastAsia="Arimo"/>
                <w:szCs w:val="20"/>
              </w:rPr>
              <w:id w:val="-372389768"/>
              <w14:checkbox>
                <w14:checked w14:val="0"/>
                <w14:checkedState w14:val="2612" w14:font="MS Gothic"/>
                <w14:uncheckedState w14:val="2610" w14:font="MS Gothic"/>
              </w14:checkbox>
            </w:sdtPr>
            <w:sdtEndPr/>
            <w:sdtContent>
              <w:p w14:paraId="238AC40E" w14:textId="77777777" w:rsidR="003920F0" w:rsidRPr="004D0354" w:rsidRDefault="003920F0" w:rsidP="001F1B55">
                <w:pPr>
                  <w:jc w:val="center"/>
                  <w:rPr>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9012B2" w14:textId="77777777" w:rsidR="003920F0" w:rsidRPr="004D0354" w:rsidRDefault="003920F0" w:rsidP="001F1B55">
            <w:pPr>
              <w:jc w:val="center"/>
              <w:rPr>
                <w:szCs w:val="20"/>
              </w:rPr>
            </w:pPr>
            <w:r w:rsidRPr="004D0354">
              <w:t>Basic</w:t>
            </w:r>
          </w:p>
          <w:sdt>
            <w:sdtPr>
              <w:rPr>
                <w:rFonts w:eastAsia="Arimo"/>
                <w:szCs w:val="20"/>
              </w:rPr>
              <w:id w:val="230350667"/>
              <w14:checkbox>
                <w14:checked w14:val="0"/>
                <w14:checkedState w14:val="2612" w14:font="MS Gothic"/>
                <w14:uncheckedState w14:val="2610" w14:font="MS Gothic"/>
              </w14:checkbox>
            </w:sdtPr>
            <w:sdtEndPr/>
            <w:sdtContent>
              <w:p w14:paraId="3B2A06B0" w14:textId="77777777" w:rsidR="003920F0" w:rsidRPr="004D0354" w:rsidRDefault="003920F0" w:rsidP="001F1B55">
                <w:pPr>
                  <w:jc w:val="center"/>
                  <w:rPr>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4F677A" w14:textId="77777777" w:rsidR="003920F0" w:rsidRPr="004D0354" w:rsidRDefault="003920F0" w:rsidP="001F1B55">
            <w:pPr>
              <w:jc w:val="center"/>
              <w:rPr>
                <w:szCs w:val="20"/>
              </w:rPr>
            </w:pPr>
            <w:r w:rsidRPr="004D0354">
              <w:t>Good</w:t>
            </w:r>
          </w:p>
          <w:sdt>
            <w:sdtPr>
              <w:rPr>
                <w:rFonts w:eastAsia="Arimo"/>
                <w:szCs w:val="20"/>
              </w:rPr>
              <w:id w:val="-1524158568"/>
              <w14:checkbox>
                <w14:checked w14:val="0"/>
                <w14:checkedState w14:val="2612" w14:font="MS Gothic"/>
                <w14:uncheckedState w14:val="2610" w14:font="MS Gothic"/>
              </w14:checkbox>
            </w:sdtPr>
            <w:sdtEndPr/>
            <w:sdtContent>
              <w:p w14:paraId="3F418F7C" w14:textId="77777777" w:rsidR="003920F0" w:rsidRPr="004D0354" w:rsidRDefault="003920F0" w:rsidP="001F1B55">
                <w:pPr>
                  <w:jc w:val="center"/>
                  <w:rPr>
                    <w:szCs w:val="20"/>
                  </w:rPr>
                </w:pPr>
                <w:r w:rsidRPr="004D0354">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2A4B8E" w14:textId="77777777" w:rsidR="003920F0" w:rsidRPr="004D0354" w:rsidRDefault="003920F0" w:rsidP="001F1B55">
            <w:pPr>
              <w:jc w:val="center"/>
              <w:rPr>
                <w:szCs w:val="20"/>
              </w:rPr>
            </w:pPr>
            <w:r w:rsidRPr="004D0354">
              <w:t>Very good</w:t>
            </w:r>
          </w:p>
          <w:sdt>
            <w:sdtPr>
              <w:rPr>
                <w:rFonts w:eastAsia="Arimo"/>
                <w:szCs w:val="20"/>
              </w:rPr>
              <w:id w:val="709070033"/>
              <w14:checkbox>
                <w14:checked w14:val="0"/>
                <w14:checkedState w14:val="2612" w14:font="MS Gothic"/>
                <w14:uncheckedState w14:val="2610" w14:font="MS Gothic"/>
              </w14:checkbox>
            </w:sdtPr>
            <w:sdtEndPr/>
            <w:sdtContent>
              <w:p w14:paraId="5EA179AD" w14:textId="77777777" w:rsidR="003920F0" w:rsidRPr="004D0354" w:rsidRDefault="003920F0" w:rsidP="001F1B55">
                <w:pPr>
                  <w:jc w:val="center"/>
                  <w:rPr>
                    <w:szCs w:val="20"/>
                  </w:rPr>
                </w:pPr>
                <w:r w:rsidRPr="004D0354">
                  <w:rPr>
                    <w:rFonts w:ascii="Segoe UI Symbol" w:eastAsia="Arimo" w:hAnsi="Segoe UI Symbol" w:cs="Segoe UI Symbol"/>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C5BBAF" w14:textId="77777777" w:rsidR="003920F0" w:rsidRPr="004D0354" w:rsidRDefault="003920F0" w:rsidP="001F1B55">
            <w:pPr>
              <w:jc w:val="center"/>
              <w:rPr>
                <w:szCs w:val="20"/>
              </w:rPr>
            </w:pPr>
            <w:r w:rsidRPr="004D0354">
              <w:t>Excellent</w:t>
            </w:r>
          </w:p>
          <w:sdt>
            <w:sdtPr>
              <w:rPr>
                <w:rFonts w:eastAsia="Arimo"/>
                <w:szCs w:val="20"/>
              </w:rPr>
              <w:id w:val="-1861269702"/>
              <w14:checkbox>
                <w14:checked w14:val="0"/>
                <w14:checkedState w14:val="2612" w14:font="MS Gothic"/>
                <w14:uncheckedState w14:val="2610" w14:font="MS Gothic"/>
              </w14:checkbox>
            </w:sdtPr>
            <w:sdtEndPr/>
            <w:sdtContent>
              <w:p w14:paraId="03BE209D" w14:textId="77777777" w:rsidR="003920F0" w:rsidRPr="004D0354" w:rsidRDefault="003920F0" w:rsidP="001F1B55">
                <w:pPr>
                  <w:jc w:val="center"/>
                  <w:rPr>
                    <w:szCs w:val="20"/>
                  </w:rPr>
                </w:pPr>
                <w:r w:rsidRPr="004D0354">
                  <w:rPr>
                    <w:rFonts w:ascii="Segoe UI Symbol" w:eastAsia="Arimo" w:hAnsi="Segoe UI Symbol" w:cs="Segoe UI Symbol"/>
                    <w:szCs w:val="20"/>
                  </w:rPr>
                  <w:t>☐</w:t>
                </w:r>
              </w:p>
            </w:sdtContent>
          </w:sdt>
        </w:tc>
      </w:tr>
      <w:tr w:rsidR="003920F0" w:rsidRPr="004D0354" w14:paraId="72530B2B" w14:textId="77777777" w:rsidTr="001F1B5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125C8" w14:textId="77777777" w:rsidR="003920F0" w:rsidRPr="004D0354" w:rsidRDefault="003920F0" w:rsidP="001F1B55">
            <w:pPr>
              <w:rPr>
                <w:color w:val="005F9A"/>
                <w:szCs w:val="20"/>
              </w:rPr>
            </w:pPr>
            <w:r w:rsidRPr="004D0354">
              <w:rPr>
                <w:color w:val="005F9A"/>
              </w:rPr>
              <w:t>Evidence for this assessment criterion:</w:t>
            </w:r>
          </w:p>
          <w:p w14:paraId="5DD32D2A" w14:textId="77777777" w:rsidR="003920F0" w:rsidRPr="004D0354" w:rsidRDefault="003920F0" w:rsidP="001F1B55">
            <w:pPr>
              <w:rPr>
                <w:color w:val="0000FF"/>
                <w:szCs w:val="20"/>
              </w:rPr>
            </w:pPr>
          </w:p>
          <w:p w14:paraId="0978975A" w14:textId="77777777" w:rsidR="003920F0" w:rsidRPr="004D0354" w:rsidRDefault="003920F0" w:rsidP="001F1B55">
            <w:pPr>
              <w:rPr>
                <w:color w:val="0000FF"/>
                <w:szCs w:val="20"/>
              </w:rPr>
            </w:pPr>
          </w:p>
        </w:tc>
      </w:tr>
    </w:tbl>
    <w:p w14:paraId="29D567AF" w14:textId="77777777" w:rsidR="007E5D1E" w:rsidRPr="004D0354" w:rsidRDefault="007E5D1E" w:rsidP="00677367">
      <w:pPr>
        <w:pStyle w:val="section-title"/>
      </w:pPr>
      <w:r w:rsidRPr="004D0354">
        <w:t>Recommendations for change</w:t>
      </w:r>
    </w:p>
    <w:tbl>
      <w:tblPr>
        <w:tblStyle w:val="TableGrid"/>
        <w:tblW w:w="5000" w:type="pct"/>
        <w:tblCellMar>
          <w:left w:w="115" w:type="dxa"/>
          <w:right w:w="115" w:type="dxa"/>
        </w:tblCellMar>
        <w:tblLook w:val="04A0" w:firstRow="1" w:lastRow="0" w:firstColumn="1" w:lastColumn="0" w:noHBand="0" w:noVBand="1"/>
      </w:tblPr>
      <w:tblGrid>
        <w:gridCol w:w="8780"/>
      </w:tblGrid>
      <w:tr w:rsidR="007E5D1E" w:rsidRPr="004D0354" w14:paraId="7EBA53BA" w14:textId="77777777" w:rsidTr="007E5D1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AF75D11" w14:textId="3F23ECD3" w:rsidR="007E5D1E" w:rsidRPr="004D0354" w:rsidRDefault="007E5D1E">
            <w:pPr>
              <w:rPr>
                <w:rFonts w:cs="Arial"/>
                <w:szCs w:val="20"/>
              </w:rPr>
            </w:pPr>
            <w:r w:rsidRPr="004D0354">
              <w:rPr>
                <w:i/>
                <w:color w:val="000000"/>
                <w:shd w:val="clear" w:color="auto" w:fill="FFFFFF"/>
              </w:rPr>
              <w:t>Use this space to note down recommendations and ideas for strengthening rules and practice in this area.</w:t>
            </w:r>
          </w:p>
        </w:tc>
      </w:tr>
    </w:tbl>
    <w:p w14:paraId="72FF6E13" w14:textId="604131DF" w:rsidR="008B5588" w:rsidRPr="004D0354" w:rsidRDefault="008B5588" w:rsidP="00677367">
      <w:pPr>
        <w:pStyle w:val="section-title"/>
        <w:rPr>
          <w:sz w:val="20"/>
        </w:rPr>
      </w:pPr>
      <w:bookmarkStart w:id="5" w:name="_heading=h.ef0fk8xus11h"/>
      <w:bookmarkEnd w:id="5"/>
      <w:r w:rsidRPr="004D0354">
        <w:t xml:space="preserve">Sources </w:t>
      </w:r>
      <w:r w:rsidR="0083248B" w:rsidRPr="004D0354">
        <w:t xml:space="preserve">and </w:t>
      </w:r>
      <w:r w:rsidRPr="004D0354">
        <w:t>further reading</w:t>
      </w:r>
    </w:p>
    <w:p w14:paraId="4C2EBB2C" w14:textId="1CF597E7" w:rsidR="008B5588" w:rsidRPr="00504733" w:rsidRDefault="008B5588" w:rsidP="007E5D1E">
      <w:pPr>
        <w:numPr>
          <w:ilvl w:val="0"/>
          <w:numId w:val="36"/>
        </w:numPr>
        <w:tabs>
          <w:tab w:val="clear" w:pos="562"/>
        </w:tabs>
        <w:ind w:hanging="562"/>
        <w:rPr>
          <w:rFonts w:eastAsia="Arial" w:cs="Arial"/>
          <w:color w:val="000000"/>
          <w:szCs w:val="20"/>
        </w:rPr>
      </w:pPr>
      <w:bookmarkStart w:id="6" w:name="_Hlk147308228"/>
      <w:r w:rsidRPr="00504733">
        <w:rPr>
          <w:color w:val="000000"/>
          <w:szCs w:val="20"/>
        </w:rPr>
        <w:t xml:space="preserve">Inter-Parliamentary Union (IPU) and Office of the United Nations High Commissioner for Human Rights (OHCHR), </w:t>
      </w:r>
      <w:hyperlink r:id="rId12" w:history="1">
        <w:r w:rsidRPr="00504733">
          <w:rPr>
            <w:rStyle w:val="Hyperlink"/>
            <w:i/>
            <w:color w:val="0563C1"/>
            <w:szCs w:val="20"/>
          </w:rPr>
          <w:t>Human Rights:</w:t>
        </w:r>
      </w:hyperlink>
      <w:hyperlink r:id="rId13" w:history="1">
        <w:r w:rsidRPr="00504733">
          <w:rPr>
            <w:rStyle w:val="Hyperlink"/>
            <w:i/>
            <w:color w:val="0563C1"/>
            <w:szCs w:val="20"/>
          </w:rPr>
          <w:t xml:space="preserve"> Handbook for Parliamentarians No. 26</w:t>
        </w:r>
      </w:hyperlink>
      <w:r w:rsidR="00BC0DB0" w:rsidRPr="00504733">
        <w:rPr>
          <w:color w:val="000000"/>
          <w:szCs w:val="20"/>
        </w:rPr>
        <w:t xml:space="preserve">, revised edition </w:t>
      </w:r>
      <w:r w:rsidRPr="00504733">
        <w:rPr>
          <w:color w:val="000000"/>
          <w:szCs w:val="20"/>
        </w:rPr>
        <w:t>(2016).</w:t>
      </w:r>
    </w:p>
    <w:p w14:paraId="793DCB1B" w14:textId="6451799E" w:rsidR="00BC0DB0" w:rsidRPr="00504733" w:rsidRDefault="00BC0DB0" w:rsidP="007E5D1E">
      <w:pPr>
        <w:numPr>
          <w:ilvl w:val="0"/>
          <w:numId w:val="36"/>
        </w:numPr>
        <w:tabs>
          <w:tab w:val="clear" w:pos="562"/>
        </w:tabs>
        <w:ind w:hanging="562"/>
        <w:rPr>
          <w:rFonts w:eastAsia="Arial" w:cs="Arial"/>
          <w:szCs w:val="20"/>
        </w:rPr>
      </w:pPr>
      <w:r w:rsidRPr="00504733">
        <w:rPr>
          <w:rFonts w:eastAsia="Arial" w:cs="Arial"/>
          <w:szCs w:val="20"/>
        </w:rPr>
        <w:t xml:space="preserve">United Nations, </w:t>
      </w:r>
      <w:hyperlink r:id="rId14" w:history="1">
        <w:r w:rsidRPr="00504733">
          <w:rPr>
            <w:rStyle w:val="Hyperlink"/>
            <w:i/>
            <w:iCs/>
            <w:szCs w:val="20"/>
          </w:rPr>
          <w:t>Universal Declaration of Human Rights</w:t>
        </w:r>
      </w:hyperlink>
      <w:r w:rsidRPr="00504733">
        <w:rPr>
          <w:rFonts w:eastAsia="Arial" w:cs="Arial"/>
          <w:szCs w:val="20"/>
        </w:rPr>
        <w:t xml:space="preserve"> (1948).</w:t>
      </w:r>
    </w:p>
    <w:p w14:paraId="4A92F343" w14:textId="647271C4" w:rsidR="0032407C" w:rsidRPr="00504733" w:rsidRDefault="0032407C" w:rsidP="007E5D1E">
      <w:pPr>
        <w:numPr>
          <w:ilvl w:val="0"/>
          <w:numId w:val="36"/>
        </w:numPr>
        <w:tabs>
          <w:tab w:val="clear" w:pos="562"/>
        </w:tabs>
        <w:ind w:hanging="562"/>
        <w:rPr>
          <w:rFonts w:eastAsia="Arial" w:cs="Arial"/>
          <w:szCs w:val="20"/>
        </w:rPr>
      </w:pPr>
      <w:r w:rsidRPr="00504733">
        <w:rPr>
          <w:rFonts w:eastAsia="Arial" w:cs="Arial"/>
          <w:szCs w:val="20"/>
        </w:rPr>
        <w:t xml:space="preserve">United Nations, </w:t>
      </w:r>
      <w:hyperlink r:id="rId15" w:history="1">
        <w:r w:rsidRPr="00504733">
          <w:rPr>
            <w:rStyle w:val="Hyperlink"/>
            <w:i/>
            <w:iCs/>
            <w:szCs w:val="20"/>
          </w:rPr>
          <w:t>International Covenant on Civil and Political Rights</w:t>
        </w:r>
      </w:hyperlink>
      <w:r w:rsidRPr="00504733">
        <w:rPr>
          <w:rFonts w:eastAsia="Arial" w:cs="Arial"/>
          <w:i/>
          <w:iCs/>
          <w:szCs w:val="20"/>
        </w:rPr>
        <w:t xml:space="preserve"> </w:t>
      </w:r>
      <w:r w:rsidRPr="00504733">
        <w:rPr>
          <w:rFonts w:eastAsia="Arial" w:cs="Arial"/>
          <w:szCs w:val="20"/>
        </w:rPr>
        <w:t>(1966).</w:t>
      </w:r>
    </w:p>
    <w:p w14:paraId="4FEEC707" w14:textId="0938DB9B" w:rsidR="0032407C" w:rsidRPr="00504733" w:rsidRDefault="0032407C" w:rsidP="007E5D1E">
      <w:pPr>
        <w:numPr>
          <w:ilvl w:val="0"/>
          <w:numId w:val="36"/>
        </w:numPr>
        <w:tabs>
          <w:tab w:val="clear" w:pos="562"/>
        </w:tabs>
        <w:ind w:hanging="562"/>
        <w:rPr>
          <w:rFonts w:eastAsia="Arial" w:cs="Arial"/>
          <w:szCs w:val="20"/>
        </w:rPr>
      </w:pPr>
      <w:r w:rsidRPr="00504733">
        <w:rPr>
          <w:rFonts w:eastAsia="Arial" w:cs="Arial"/>
          <w:szCs w:val="20"/>
        </w:rPr>
        <w:t xml:space="preserve">United Nations, </w:t>
      </w:r>
      <w:hyperlink r:id="rId16" w:history="1">
        <w:r w:rsidRPr="00504733">
          <w:rPr>
            <w:rStyle w:val="Hyperlink"/>
            <w:i/>
            <w:iCs/>
            <w:szCs w:val="20"/>
          </w:rPr>
          <w:t>Belgrade principles on the relationship between national human rights institutions and parliaments</w:t>
        </w:r>
      </w:hyperlink>
      <w:r w:rsidRPr="00504733">
        <w:rPr>
          <w:rFonts w:eastAsia="Arial" w:cs="Arial"/>
          <w:szCs w:val="20"/>
        </w:rPr>
        <w:t xml:space="preserve"> (2012).</w:t>
      </w:r>
    </w:p>
    <w:p w14:paraId="7AAB4B5B" w14:textId="1260DB43" w:rsidR="00702DDC" w:rsidRPr="004D0354" w:rsidRDefault="00702DDC" w:rsidP="00702DDC">
      <w:pPr>
        <w:numPr>
          <w:ilvl w:val="0"/>
          <w:numId w:val="36"/>
        </w:numPr>
        <w:tabs>
          <w:tab w:val="clear" w:pos="562"/>
        </w:tabs>
        <w:ind w:hanging="562"/>
        <w:rPr>
          <w:rFonts w:eastAsia="Arial" w:cs="Arial"/>
          <w:szCs w:val="20"/>
        </w:rPr>
      </w:pPr>
      <w:r w:rsidRPr="00504733">
        <w:rPr>
          <w:color w:val="000000"/>
          <w:szCs w:val="20"/>
        </w:rPr>
        <w:t xml:space="preserve">United Nations, </w:t>
      </w:r>
      <w:hyperlink r:id="rId17" w:history="1">
        <w:r w:rsidRPr="00504733">
          <w:rPr>
            <w:rStyle w:val="Hyperlink"/>
            <w:i/>
            <w:color w:val="0563C1"/>
            <w:szCs w:val="20"/>
          </w:rPr>
          <w:t>Contribution of parliaments to the work of the Human Rights Council and its universal periodic review</w:t>
        </w:r>
      </w:hyperlink>
      <w:r w:rsidRPr="004D0354">
        <w:rPr>
          <w:i/>
          <w:color w:val="000000"/>
          <w:u w:val="single"/>
        </w:rPr>
        <w:t xml:space="preserve"> </w:t>
      </w:r>
      <w:r w:rsidRPr="004D0354">
        <w:rPr>
          <w:color w:val="000000"/>
        </w:rPr>
        <w:t>(2018).</w:t>
      </w:r>
    </w:p>
    <w:bookmarkEnd w:id="6"/>
    <w:p w14:paraId="2C79F107" w14:textId="77777777" w:rsidR="008B5588" w:rsidRPr="004D0354" w:rsidRDefault="008B5588" w:rsidP="007E5D1E">
      <w:pPr>
        <w:ind w:left="562" w:hanging="562"/>
        <w:rPr>
          <w:rFonts w:eastAsia="Arial" w:cs="Arial"/>
          <w:szCs w:val="20"/>
        </w:rPr>
      </w:pPr>
    </w:p>
    <w:p w14:paraId="5D207315" w14:textId="77777777" w:rsidR="008B5588" w:rsidRPr="004D0354" w:rsidRDefault="008B5588" w:rsidP="008B5588">
      <w:pPr>
        <w:spacing w:line="276" w:lineRule="auto"/>
        <w:rPr>
          <w:rFonts w:eastAsia="Arial" w:cs="Arial"/>
          <w:szCs w:val="20"/>
        </w:rPr>
      </w:pPr>
    </w:p>
    <w:p w14:paraId="42945283" w14:textId="77777777" w:rsidR="008B5588" w:rsidRPr="004D0354" w:rsidRDefault="008B5588" w:rsidP="005D05A6">
      <w:pPr>
        <w:spacing w:line="276" w:lineRule="auto"/>
        <w:rPr>
          <w:rFonts w:eastAsia="Arial" w:cs="Arial"/>
          <w:color w:val="000000"/>
          <w:szCs w:val="20"/>
        </w:rPr>
      </w:pPr>
    </w:p>
    <w:p w14:paraId="60BB1D8A" w14:textId="3B48157A" w:rsidR="00295648" w:rsidRPr="004D0354" w:rsidRDefault="008B5588" w:rsidP="002B4148">
      <w:pPr>
        <w:pStyle w:val="Heading3"/>
      </w:pPr>
      <w:r w:rsidRPr="004D0354">
        <w:lastRenderedPageBreak/>
        <w:t xml:space="preserve">Dimension 5.1.2: Impact assessments </w:t>
      </w:r>
    </w:p>
    <w:tbl>
      <w:tblPr>
        <w:tblStyle w:val="TableGrid"/>
        <w:tblW w:w="0" w:type="auto"/>
        <w:shd w:val="clear" w:color="auto" w:fill="EEEEEE"/>
        <w:tblLook w:val="04A0" w:firstRow="1" w:lastRow="0" w:firstColumn="1" w:lastColumn="0" w:noHBand="0" w:noVBand="1"/>
      </w:tblPr>
      <w:tblGrid>
        <w:gridCol w:w="8780"/>
      </w:tblGrid>
      <w:tr w:rsidR="00D90297" w:rsidRPr="004D0354" w14:paraId="7323DB62" w14:textId="77777777" w:rsidTr="00D90297">
        <w:tc>
          <w:tcPr>
            <w:tcW w:w="9350" w:type="dxa"/>
            <w:shd w:val="clear" w:color="auto" w:fill="EEEEEE"/>
          </w:tcPr>
          <w:p w14:paraId="2471F17C" w14:textId="11D0EB12" w:rsidR="00D90297" w:rsidRPr="004D0354" w:rsidRDefault="00D90297" w:rsidP="00D90297">
            <w:pPr>
              <w:rPr>
                <w:rFonts w:eastAsia="Arial" w:cs="Arial"/>
                <w:szCs w:val="20"/>
              </w:rPr>
            </w:pPr>
            <w:r w:rsidRPr="004D0354">
              <w:t>This dimension is part of:</w:t>
            </w:r>
          </w:p>
          <w:p w14:paraId="0C177275" w14:textId="77777777" w:rsidR="00677367" w:rsidRPr="004D0354" w:rsidRDefault="00C80237" w:rsidP="00FC3A37">
            <w:pPr>
              <w:pStyle w:val="ListParagraph"/>
            </w:pPr>
            <w:r w:rsidRPr="004D0354">
              <w:t>Indicator 5.1: Inclusive law-making, oversight and budgeting</w:t>
            </w:r>
            <w:r w:rsidRPr="004D0354" w:rsidDel="00C80237">
              <w:t xml:space="preserve"> </w:t>
            </w:r>
          </w:p>
          <w:p w14:paraId="1D4B7713" w14:textId="3F223D1B" w:rsidR="00D90297" w:rsidRPr="004D0354" w:rsidRDefault="00112924" w:rsidP="00FC3A37">
            <w:pPr>
              <w:pStyle w:val="ListParagraph"/>
              <w:rPr>
                <w:sz w:val="24"/>
                <w:szCs w:val="20"/>
              </w:rPr>
            </w:pPr>
            <w:r w:rsidRPr="004D0354">
              <w:t>T</w:t>
            </w:r>
            <w:r w:rsidR="00D90297" w:rsidRPr="004D0354">
              <w:t>arget 5: Inclusive parliament</w:t>
            </w:r>
          </w:p>
        </w:tc>
      </w:tr>
    </w:tbl>
    <w:p w14:paraId="523DDB88" w14:textId="77777777" w:rsidR="00D90297" w:rsidRPr="004D0354" w:rsidRDefault="00D90297" w:rsidP="00D90297">
      <w:pPr>
        <w:rPr>
          <w:lang w:eastAsia="en-GB"/>
        </w:rPr>
      </w:pPr>
    </w:p>
    <w:p w14:paraId="4A292996" w14:textId="7872579E" w:rsidR="00295648" w:rsidRPr="004D0354" w:rsidRDefault="007E5D1E" w:rsidP="00677367">
      <w:pPr>
        <w:pStyle w:val="section-title"/>
        <w:rPr>
          <w:sz w:val="20"/>
        </w:rPr>
      </w:pPr>
      <w:r w:rsidRPr="004D0354">
        <w:t>About this dimension</w:t>
      </w:r>
    </w:p>
    <w:p w14:paraId="23DAF433" w14:textId="3DE96CC5" w:rsidR="00F23CF1" w:rsidRPr="004D0354" w:rsidRDefault="00295648" w:rsidP="00295648">
      <w:r w:rsidRPr="004D0354">
        <w:t xml:space="preserve">This dimension </w:t>
      </w:r>
      <w:r w:rsidR="006D6F59" w:rsidRPr="004D0354">
        <w:t>concerns parliament’s practices relating to</w:t>
      </w:r>
      <w:r w:rsidRPr="004D0354">
        <w:t xml:space="preserve"> impact assessment</w:t>
      </w:r>
      <w:r w:rsidR="006D6F59" w:rsidRPr="004D0354">
        <w:t>s, which are a</w:t>
      </w:r>
      <w:r w:rsidRPr="004D0354">
        <w:t xml:space="preserve"> </w:t>
      </w:r>
      <w:r w:rsidR="006D6F59" w:rsidRPr="004D0354">
        <w:t>process of identifying the future consequences of a current or proposed action.</w:t>
      </w:r>
      <w:r w:rsidR="002708C6" w:rsidRPr="004D0354">
        <w:t xml:space="preserve"> </w:t>
      </w:r>
      <w:r w:rsidR="006D6F59" w:rsidRPr="004D0354">
        <w:t xml:space="preserve">Impact assessments are </w:t>
      </w:r>
      <w:r w:rsidRPr="004D0354">
        <w:t xml:space="preserve">an important element of evidence-based </w:t>
      </w:r>
      <w:r w:rsidR="006D6F59" w:rsidRPr="004D0354">
        <w:t>law-making</w:t>
      </w:r>
      <w:r w:rsidRPr="004D0354">
        <w:t>, provid</w:t>
      </w:r>
      <w:r w:rsidR="006D6F59" w:rsidRPr="004D0354">
        <w:t>ing</w:t>
      </w:r>
      <w:r w:rsidRPr="004D0354">
        <w:t xml:space="preserve"> for a systematic and critical analysis of the positive and negative effects of </w:t>
      </w:r>
      <w:r w:rsidR="006D6F59" w:rsidRPr="004D0354">
        <w:t>proposals for law</w:t>
      </w:r>
      <w:r w:rsidR="0090577D" w:rsidRPr="004D0354">
        <w:t>s</w:t>
      </w:r>
      <w:r w:rsidR="00F23CF1" w:rsidRPr="004D0354">
        <w:t>.</w:t>
      </w:r>
    </w:p>
    <w:p w14:paraId="0820815E" w14:textId="77777777" w:rsidR="00F23CF1" w:rsidRPr="004D0354" w:rsidRDefault="00F23CF1" w:rsidP="00295648"/>
    <w:p w14:paraId="43D16D15" w14:textId="3D43CFB1" w:rsidR="009B5F4D" w:rsidRPr="004D0354" w:rsidRDefault="00295648" w:rsidP="00295648">
      <w:pPr>
        <w:rPr>
          <w:rFonts w:eastAsia="Arial" w:cs="Arial"/>
          <w:szCs w:val="20"/>
        </w:rPr>
      </w:pPr>
      <w:r w:rsidRPr="004D0354">
        <w:t xml:space="preserve">Impact assessments can be broad and determine the consequences </w:t>
      </w:r>
      <w:r w:rsidR="009B5F4D" w:rsidRPr="004D0354">
        <w:t xml:space="preserve">or a law or policy </w:t>
      </w:r>
      <w:r w:rsidRPr="004D0354">
        <w:t>from an economic, social, environmental, climate or other perspective</w:t>
      </w:r>
      <w:r w:rsidR="007F629B" w:rsidRPr="004D0354">
        <w:t>, or</w:t>
      </w:r>
      <w:r w:rsidRPr="004D0354">
        <w:t xml:space="preserve"> </w:t>
      </w:r>
      <w:r w:rsidR="007F629B" w:rsidRPr="004D0354">
        <w:t>t</w:t>
      </w:r>
      <w:r w:rsidR="009B5F4D" w:rsidRPr="004D0354">
        <w:t>hey</w:t>
      </w:r>
      <w:r w:rsidRPr="004D0354">
        <w:t xml:space="preserve"> can </w:t>
      </w:r>
      <w:r w:rsidR="007F629B" w:rsidRPr="004D0354">
        <w:t>be targeted and</w:t>
      </w:r>
      <w:r w:rsidRPr="004D0354">
        <w:t xml:space="preserve"> focus</w:t>
      </w:r>
      <w:r w:rsidR="007F629B" w:rsidRPr="004D0354">
        <w:t>ed</w:t>
      </w:r>
      <w:r w:rsidRPr="004D0354">
        <w:t xml:space="preserve"> on </w:t>
      </w:r>
      <w:r w:rsidR="002708C6" w:rsidRPr="004D0354">
        <w:t xml:space="preserve">the impact on </w:t>
      </w:r>
      <w:r w:rsidRPr="004D0354">
        <w:t>specific groups</w:t>
      </w:r>
      <w:r w:rsidR="00F23CF1" w:rsidRPr="004D0354">
        <w:t>, such as women, young people, persons with disabilities, and vulnerable and marginalized groups</w:t>
      </w:r>
      <w:r w:rsidR="009B5F4D" w:rsidRPr="004D0354">
        <w:t>.</w:t>
      </w:r>
    </w:p>
    <w:p w14:paraId="1AFA97AF" w14:textId="77777777" w:rsidR="00295648" w:rsidRPr="004D0354" w:rsidRDefault="00295648" w:rsidP="00295648">
      <w:pPr>
        <w:rPr>
          <w:rFonts w:eastAsia="Arial" w:cs="Arial"/>
          <w:szCs w:val="20"/>
          <w:lang w:eastAsia="en-GB"/>
        </w:rPr>
      </w:pPr>
    </w:p>
    <w:p w14:paraId="78271E24" w14:textId="7BA2AA2C" w:rsidR="002D4DF4" w:rsidRPr="004D0354" w:rsidRDefault="00F23CF1" w:rsidP="002D4DF4">
      <w:pPr>
        <w:rPr>
          <w:szCs w:val="32"/>
        </w:rPr>
      </w:pPr>
      <w:r w:rsidRPr="004D0354">
        <w:t xml:space="preserve">Parliament can mandate the executive to </w:t>
      </w:r>
      <w:r w:rsidR="002708C6" w:rsidRPr="004D0354">
        <w:t xml:space="preserve">accompany proposals for laws with </w:t>
      </w:r>
      <w:r w:rsidR="002D4DF4" w:rsidRPr="004D0354">
        <w:t xml:space="preserve">assessments </w:t>
      </w:r>
      <w:r w:rsidR="002708C6" w:rsidRPr="004D0354">
        <w:t xml:space="preserve">of the impact of these laws. Some parliaments also </w:t>
      </w:r>
      <w:r w:rsidR="002D4DF4" w:rsidRPr="004D0354">
        <w:t xml:space="preserve">conduct or commission </w:t>
      </w:r>
      <w:r w:rsidR="002708C6" w:rsidRPr="004D0354">
        <w:t xml:space="preserve">their </w:t>
      </w:r>
      <w:r w:rsidR="002D4DF4" w:rsidRPr="004D0354">
        <w:t>own impact assessments</w:t>
      </w:r>
      <w:r w:rsidR="002708C6" w:rsidRPr="004D0354">
        <w:t>.</w:t>
      </w:r>
      <w:r w:rsidR="002708C6" w:rsidRPr="004D0354">
        <w:rPr>
          <w:szCs w:val="32"/>
        </w:rPr>
        <w:t xml:space="preserve"> </w:t>
      </w:r>
      <w:r w:rsidR="002D4DF4" w:rsidRPr="004D0354">
        <w:rPr>
          <w:szCs w:val="32"/>
        </w:rPr>
        <w:t xml:space="preserve">The findings of impact assessments </w:t>
      </w:r>
      <w:r w:rsidR="002708C6" w:rsidRPr="004D0354">
        <w:rPr>
          <w:szCs w:val="32"/>
        </w:rPr>
        <w:t>should be publicly available and considered</w:t>
      </w:r>
      <w:r w:rsidR="002D4DF4" w:rsidRPr="004D0354">
        <w:rPr>
          <w:szCs w:val="32"/>
        </w:rPr>
        <w:t xml:space="preserve"> by parliament</w:t>
      </w:r>
      <w:r w:rsidR="002708C6" w:rsidRPr="004D0354">
        <w:rPr>
          <w:szCs w:val="32"/>
        </w:rPr>
        <w:t xml:space="preserve"> during the legislative process.</w:t>
      </w:r>
    </w:p>
    <w:p w14:paraId="77325676" w14:textId="77777777" w:rsidR="002D4DF4" w:rsidRPr="004D0354" w:rsidRDefault="002D4DF4" w:rsidP="00295648"/>
    <w:p w14:paraId="1AB5F437" w14:textId="7543BA6A" w:rsidR="00295648" w:rsidRPr="004D0354" w:rsidRDefault="002D4DF4" w:rsidP="00295648">
      <w:pPr>
        <w:rPr>
          <w:rFonts w:eastAsia="Arial" w:cs="Arial"/>
          <w:szCs w:val="20"/>
          <w:lang w:eastAsia="en-GB"/>
        </w:rPr>
      </w:pPr>
      <w:r w:rsidRPr="004D0354">
        <w:t>Since i</w:t>
      </w:r>
      <w:r w:rsidR="00295648" w:rsidRPr="004D0354">
        <w:t>mpact assessment</w:t>
      </w:r>
      <w:r w:rsidRPr="004D0354">
        <w:t>s</w:t>
      </w:r>
      <w:r w:rsidR="00295648" w:rsidRPr="004D0354">
        <w:t xml:space="preserve"> requir</w:t>
      </w:r>
      <w:r w:rsidR="003C1353" w:rsidRPr="004D0354">
        <w:t>e</w:t>
      </w:r>
      <w:r w:rsidR="00295648" w:rsidRPr="004D0354">
        <w:t xml:space="preserve"> </w:t>
      </w:r>
      <w:r w:rsidR="00E1417B" w:rsidRPr="004D0354">
        <w:t xml:space="preserve">expertise </w:t>
      </w:r>
      <w:r w:rsidR="00295648" w:rsidRPr="004D0354">
        <w:t xml:space="preserve">that </w:t>
      </w:r>
      <w:r w:rsidR="00BD245E" w:rsidRPr="004D0354">
        <w:t xml:space="preserve">is </w:t>
      </w:r>
      <w:r w:rsidR="00295648" w:rsidRPr="004D0354">
        <w:t>generally not part of legal training</w:t>
      </w:r>
      <w:r w:rsidRPr="004D0354">
        <w:t>,</w:t>
      </w:r>
      <w:r w:rsidR="00295648" w:rsidRPr="004D0354">
        <w:t xml:space="preserve"> </w:t>
      </w:r>
      <w:r w:rsidRPr="004D0354">
        <w:t>t</w:t>
      </w:r>
      <w:r w:rsidR="00295648" w:rsidRPr="004D0354">
        <w:t>hey</w:t>
      </w:r>
      <w:r w:rsidR="003C1353" w:rsidRPr="004D0354">
        <w:t xml:space="preserve"> are typically</w:t>
      </w:r>
      <w:r w:rsidR="00295648" w:rsidRPr="004D0354">
        <w:t xml:space="preserve"> </w:t>
      </w:r>
      <w:r w:rsidR="003C1353" w:rsidRPr="004D0354">
        <w:t>conducted</w:t>
      </w:r>
      <w:r w:rsidR="00295648" w:rsidRPr="004D0354">
        <w:t xml:space="preserve"> by administrative staff, parliamentary advisory </w:t>
      </w:r>
      <w:proofErr w:type="gramStart"/>
      <w:r w:rsidR="00295648" w:rsidRPr="004D0354">
        <w:t>bodies</w:t>
      </w:r>
      <w:proofErr w:type="gramEnd"/>
      <w:r w:rsidR="00295648" w:rsidRPr="004D0354">
        <w:t xml:space="preserve"> or external experts. In any </w:t>
      </w:r>
      <w:r w:rsidR="003C1353" w:rsidRPr="004D0354">
        <w:t>event</w:t>
      </w:r>
      <w:r w:rsidR="00295648" w:rsidRPr="004D0354">
        <w:t>, impact assessment</w:t>
      </w:r>
      <w:r w:rsidR="003C1353" w:rsidRPr="004D0354">
        <w:t>s</w:t>
      </w:r>
      <w:r w:rsidR="00295648" w:rsidRPr="004D0354">
        <w:t xml:space="preserve"> should be an inclusive and transparent process. </w:t>
      </w:r>
    </w:p>
    <w:p w14:paraId="0BA1FA8C" w14:textId="69ABEAD6" w:rsidR="00295648" w:rsidRPr="004D0354" w:rsidRDefault="00295648" w:rsidP="00677367">
      <w:pPr>
        <w:pStyle w:val="section-title"/>
      </w:pPr>
      <w:r w:rsidRPr="004D0354">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00" w:firstRow="0" w:lastRow="0" w:firstColumn="0" w:lastColumn="0" w:noHBand="0" w:noVBand="1"/>
      </w:tblPr>
      <w:tblGrid>
        <w:gridCol w:w="8780"/>
      </w:tblGrid>
      <w:tr w:rsidR="00295648" w:rsidRPr="004D0354" w14:paraId="376A8BFE" w14:textId="77777777" w:rsidTr="00D90297">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52C948C" w14:textId="76C74913" w:rsidR="00295648" w:rsidRPr="004D0354" w:rsidRDefault="00295648" w:rsidP="00295648">
            <w:pPr>
              <w:spacing w:after="160"/>
              <w:rPr>
                <w:rFonts w:eastAsia="Arial" w:cs="Arial"/>
                <w:i/>
                <w:szCs w:val="20"/>
              </w:rPr>
            </w:pPr>
            <w:r w:rsidRPr="004D0354">
              <w:rPr>
                <w:i/>
              </w:rPr>
              <w:t xml:space="preserve">Based on a global comparative analysis, an aspiring goal for parliaments </w:t>
            </w:r>
            <w:proofErr w:type="gramStart"/>
            <w:r w:rsidRPr="004D0354">
              <w:rPr>
                <w:i/>
              </w:rPr>
              <w:t>in the area of</w:t>
            </w:r>
            <w:proofErr w:type="gramEnd"/>
            <w:r w:rsidRPr="004D0354">
              <w:rPr>
                <w:i/>
              </w:rPr>
              <w:t xml:space="preserve"> </w:t>
            </w:r>
            <w:r w:rsidR="0055364C" w:rsidRPr="004D0354">
              <w:rPr>
                <w:i/>
              </w:rPr>
              <w:t>“</w:t>
            </w:r>
            <w:r w:rsidRPr="004D0354">
              <w:rPr>
                <w:i/>
              </w:rPr>
              <w:t>impact assessments</w:t>
            </w:r>
            <w:r w:rsidR="0055364C" w:rsidRPr="004D0354">
              <w:rPr>
                <w:i/>
              </w:rPr>
              <w:t>”</w:t>
            </w:r>
            <w:r w:rsidRPr="004D0354">
              <w:rPr>
                <w:i/>
              </w:rPr>
              <w:t xml:space="preserve"> is as follows:</w:t>
            </w:r>
          </w:p>
          <w:p w14:paraId="3F06E70B" w14:textId="46438724" w:rsidR="00294B27" w:rsidRPr="004D0354" w:rsidRDefault="00294B27" w:rsidP="00294B27">
            <w:pPr>
              <w:spacing w:line="276" w:lineRule="auto"/>
            </w:pPr>
            <w:r w:rsidRPr="004D0354">
              <w:t xml:space="preserve">Impact assessments of the positive and negative effects of proposals for laws on different groups in society are an established part of the law-making process. </w:t>
            </w:r>
          </w:p>
          <w:p w14:paraId="27A45695" w14:textId="76F22C3B" w:rsidR="00294B27" w:rsidRPr="004D0354" w:rsidRDefault="00294B27" w:rsidP="00294B27">
            <w:pPr>
              <w:spacing w:line="276" w:lineRule="auto"/>
            </w:pPr>
          </w:p>
          <w:p w14:paraId="2ECD34AD" w14:textId="32FF9877" w:rsidR="00294B27" w:rsidRPr="004D0354" w:rsidRDefault="00294B27" w:rsidP="00294B27">
            <w:pPr>
              <w:spacing w:line="276" w:lineRule="auto"/>
            </w:pPr>
            <w:r w:rsidRPr="004D0354">
              <w:t xml:space="preserve">Parliament has the necessary expertise, among parliamentary staff, advisory </w:t>
            </w:r>
            <w:proofErr w:type="gramStart"/>
            <w:r w:rsidRPr="004D0354">
              <w:t>bodies</w:t>
            </w:r>
            <w:proofErr w:type="gramEnd"/>
            <w:r w:rsidRPr="004D0354">
              <w:t xml:space="preserve"> or external experts, to </w:t>
            </w:r>
            <w:r w:rsidRPr="004D0354">
              <w:rPr>
                <w:rFonts w:eastAsia="Arial" w:cs="Arial"/>
                <w:szCs w:val="20"/>
              </w:rPr>
              <w:t>analyse impact assessments reports or</w:t>
            </w:r>
            <w:r w:rsidRPr="004D0354">
              <w:t xml:space="preserve"> to conduct or commission its own impact assessments.</w:t>
            </w:r>
          </w:p>
          <w:p w14:paraId="1288E2F4" w14:textId="65C616DC" w:rsidR="00294B27" w:rsidRPr="004D0354" w:rsidRDefault="00294B27" w:rsidP="00294B27">
            <w:pPr>
              <w:spacing w:line="276" w:lineRule="auto"/>
            </w:pPr>
          </w:p>
          <w:p w14:paraId="55A47975" w14:textId="77777777" w:rsidR="00294B27" w:rsidRPr="004D0354" w:rsidRDefault="00294B27" w:rsidP="00294B27">
            <w:pPr>
              <w:spacing w:line="276" w:lineRule="auto"/>
              <w:rPr>
                <w:rFonts w:eastAsia="Arial" w:cs="Arial"/>
                <w:szCs w:val="20"/>
              </w:rPr>
            </w:pPr>
            <w:r w:rsidRPr="004D0354">
              <w:rPr>
                <w:rFonts w:eastAsia="Arial" w:cs="Arial"/>
                <w:szCs w:val="20"/>
              </w:rPr>
              <w:t xml:space="preserve">The findings and reports of impact assessments, whether carried out by parliament or by the executive, are </w:t>
            </w:r>
            <w:r w:rsidRPr="004D0354">
              <w:rPr>
                <w:szCs w:val="32"/>
              </w:rPr>
              <w:t>made available to MPs and the public</w:t>
            </w:r>
            <w:r w:rsidRPr="004D0354">
              <w:t xml:space="preserve">. </w:t>
            </w:r>
          </w:p>
          <w:p w14:paraId="1E7CDE58" w14:textId="77777777" w:rsidR="00295648" w:rsidRPr="004D0354" w:rsidRDefault="00295648" w:rsidP="00295648">
            <w:pPr>
              <w:spacing w:line="276" w:lineRule="auto"/>
              <w:rPr>
                <w:rFonts w:eastAsia="Arial" w:cs="Arial"/>
                <w:color w:val="1F4E79"/>
                <w:szCs w:val="20"/>
                <w:lang w:eastAsia="en-GB"/>
              </w:rPr>
            </w:pPr>
          </w:p>
        </w:tc>
      </w:tr>
    </w:tbl>
    <w:p w14:paraId="6B5BB1A9" w14:textId="77777777" w:rsidR="00295648" w:rsidRPr="004D0354" w:rsidRDefault="00295648" w:rsidP="00677367">
      <w:pPr>
        <w:pStyle w:val="section-title"/>
      </w:pPr>
      <w:r w:rsidRPr="004D0354">
        <w:t>Assessment</w:t>
      </w:r>
    </w:p>
    <w:p w14:paraId="37BBA1B9" w14:textId="705A646D" w:rsidR="00295648" w:rsidRPr="004D0354" w:rsidRDefault="00295648" w:rsidP="00295648">
      <w:pPr>
        <w:spacing w:before="200" w:line="276" w:lineRule="auto"/>
        <w:rPr>
          <w:rFonts w:eastAsia="Arial" w:cs="Arial"/>
          <w:szCs w:val="20"/>
        </w:rPr>
      </w:pPr>
      <w:r w:rsidRPr="004D0354">
        <w:rPr>
          <w:color w:val="000000"/>
        </w:rPr>
        <w:t xml:space="preserve">This dimension is assessed against several criteria, each of which should be evaluated separately. For each criterion, select one of the six descriptive grades (Non-existent, Rudimentary, Basic, Good, </w:t>
      </w:r>
      <w:proofErr w:type="gramStart"/>
      <w:r w:rsidRPr="004D0354">
        <w:rPr>
          <w:color w:val="000000"/>
        </w:rPr>
        <w:t>Very</w:t>
      </w:r>
      <w:proofErr w:type="gramEnd"/>
      <w:r w:rsidRPr="004D0354">
        <w:rPr>
          <w:color w:val="000000"/>
        </w:rPr>
        <w:t xml:space="preserve"> good and Excellent) that best reflects the situation in your parliament, and provide details of the evidence on which this assessment is based.</w:t>
      </w:r>
      <w:r w:rsidRPr="004D0354">
        <w:t xml:space="preserve"> </w:t>
      </w:r>
    </w:p>
    <w:p w14:paraId="3437FD77" w14:textId="56CB9FE9" w:rsidR="00295648" w:rsidRPr="004D0354" w:rsidRDefault="00295648" w:rsidP="00295648">
      <w:pPr>
        <w:spacing w:before="200" w:line="276" w:lineRule="auto"/>
        <w:rPr>
          <w:rFonts w:eastAsia="Arial" w:cs="Arial"/>
          <w:szCs w:val="20"/>
        </w:rPr>
      </w:pPr>
      <w:r w:rsidRPr="004D0354">
        <w:t>The evidence for assessment of this dimension could include the following:</w:t>
      </w:r>
    </w:p>
    <w:p w14:paraId="2B8C12DD" w14:textId="77777777" w:rsidR="00295648" w:rsidRPr="004D0354" w:rsidRDefault="00295648" w:rsidP="00295648">
      <w:pPr>
        <w:rPr>
          <w:rFonts w:eastAsia="Arial" w:cs="Arial"/>
          <w:szCs w:val="20"/>
          <w:lang w:eastAsia="en-GB"/>
        </w:rPr>
      </w:pPr>
    </w:p>
    <w:p w14:paraId="63038E1A" w14:textId="5CC2804A" w:rsidR="00295648" w:rsidRPr="004D0354" w:rsidRDefault="00295648" w:rsidP="00295648">
      <w:pPr>
        <w:numPr>
          <w:ilvl w:val="0"/>
          <w:numId w:val="16"/>
        </w:numPr>
        <w:pBdr>
          <w:top w:val="nil"/>
          <w:left w:val="nil"/>
          <w:bottom w:val="nil"/>
          <w:right w:val="nil"/>
          <w:between w:val="nil"/>
        </w:pBdr>
        <w:ind w:left="562" w:hanging="562"/>
        <w:rPr>
          <w:rFonts w:eastAsia="Arial" w:cs="Arial"/>
          <w:color w:val="000000"/>
          <w:szCs w:val="20"/>
        </w:rPr>
      </w:pPr>
      <w:r w:rsidRPr="004D0354">
        <w:rPr>
          <w:color w:val="000000"/>
        </w:rPr>
        <w:t xml:space="preserve">Parliamentary </w:t>
      </w:r>
      <w:r w:rsidR="0012380A" w:rsidRPr="004D0354">
        <w:rPr>
          <w:color w:val="000000"/>
        </w:rPr>
        <w:t xml:space="preserve">impact assessment </w:t>
      </w:r>
      <w:r w:rsidRPr="004D0354">
        <w:rPr>
          <w:color w:val="000000"/>
        </w:rPr>
        <w:t>guidelines</w:t>
      </w:r>
    </w:p>
    <w:p w14:paraId="1A6F6D6A" w14:textId="0AB8B79A" w:rsidR="00295648" w:rsidRPr="004D0354" w:rsidRDefault="00295648" w:rsidP="00295648">
      <w:pPr>
        <w:numPr>
          <w:ilvl w:val="0"/>
          <w:numId w:val="16"/>
        </w:numPr>
        <w:pBdr>
          <w:top w:val="nil"/>
          <w:left w:val="nil"/>
          <w:bottom w:val="nil"/>
          <w:right w:val="nil"/>
          <w:between w:val="nil"/>
        </w:pBdr>
        <w:ind w:left="562" w:hanging="562"/>
        <w:rPr>
          <w:rFonts w:eastAsia="Arial" w:cs="Arial"/>
          <w:color w:val="000000"/>
          <w:szCs w:val="20"/>
        </w:rPr>
      </w:pPr>
      <w:r w:rsidRPr="004D0354">
        <w:rPr>
          <w:color w:val="000000"/>
        </w:rPr>
        <w:t xml:space="preserve">Impact assessment </w:t>
      </w:r>
      <w:r w:rsidR="0012380A" w:rsidRPr="004D0354">
        <w:rPr>
          <w:color w:val="000000"/>
        </w:rPr>
        <w:t xml:space="preserve">findings and </w:t>
      </w:r>
      <w:r w:rsidRPr="004D0354">
        <w:rPr>
          <w:color w:val="000000"/>
        </w:rPr>
        <w:t>reports</w:t>
      </w:r>
    </w:p>
    <w:p w14:paraId="3FC5398C" w14:textId="2CC07E23" w:rsidR="00295648" w:rsidRPr="004D0354" w:rsidRDefault="00295648" w:rsidP="00295648">
      <w:pPr>
        <w:numPr>
          <w:ilvl w:val="0"/>
          <w:numId w:val="16"/>
        </w:numPr>
        <w:pBdr>
          <w:top w:val="nil"/>
          <w:left w:val="nil"/>
          <w:bottom w:val="nil"/>
          <w:right w:val="nil"/>
          <w:between w:val="nil"/>
        </w:pBdr>
        <w:ind w:left="562" w:hanging="562"/>
        <w:rPr>
          <w:rFonts w:eastAsia="Arial" w:cs="Arial"/>
          <w:color w:val="000000"/>
          <w:szCs w:val="20"/>
        </w:rPr>
      </w:pPr>
      <w:r w:rsidRPr="004D0354">
        <w:rPr>
          <w:color w:val="000000"/>
        </w:rPr>
        <w:t xml:space="preserve">Number of impact assessment exercises conducted by parliament during the </w:t>
      </w:r>
      <w:proofErr w:type="gramStart"/>
      <w:r w:rsidRPr="004D0354">
        <w:rPr>
          <w:color w:val="000000"/>
        </w:rPr>
        <w:t>year</w:t>
      </w:r>
      <w:proofErr w:type="gramEnd"/>
    </w:p>
    <w:p w14:paraId="0C3D98FD" w14:textId="6FB3C3BA" w:rsidR="00295648" w:rsidRPr="004D0354" w:rsidRDefault="00295648" w:rsidP="00295648">
      <w:pPr>
        <w:numPr>
          <w:ilvl w:val="0"/>
          <w:numId w:val="16"/>
        </w:numPr>
        <w:pBdr>
          <w:top w:val="nil"/>
          <w:left w:val="nil"/>
          <w:bottom w:val="nil"/>
          <w:right w:val="nil"/>
          <w:between w:val="nil"/>
        </w:pBdr>
        <w:ind w:left="562" w:hanging="562"/>
        <w:rPr>
          <w:rFonts w:eastAsia="Arial" w:cs="Arial"/>
          <w:color w:val="000000"/>
          <w:szCs w:val="20"/>
        </w:rPr>
      </w:pPr>
      <w:r w:rsidRPr="004D0354">
        <w:rPr>
          <w:color w:val="000000"/>
        </w:rPr>
        <w:t xml:space="preserve">Examples of </w:t>
      </w:r>
      <w:r w:rsidR="0012380A" w:rsidRPr="004D0354">
        <w:rPr>
          <w:color w:val="000000"/>
        </w:rPr>
        <w:t xml:space="preserve">proposals for laws or proposed </w:t>
      </w:r>
      <w:r w:rsidRPr="004D0354">
        <w:rPr>
          <w:color w:val="000000"/>
        </w:rPr>
        <w:t xml:space="preserve">policies modified as a result of an impact </w:t>
      </w:r>
      <w:proofErr w:type="gramStart"/>
      <w:r w:rsidRPr="004D0354">
        <w:rPr>
          <w:color w:val="000000"/>
        </w:rPr>
        <w:t>assessment</w:t>
      </w:r>
      <w:proofErr w:type="gramEnd"/>
    </w:p>
    <w:p w14:paraId="3222CF51" w14:textId="5E68AD8E" w:rsidR="00295648" w:rsidRPr="004D0354" w:rsidRDefault="00AC6562" w:rsidP="00295648">
      <w:pPr>
        <w:numPr>
          <w:ilvl w:val="0"/>
          <w:numId w:val="16"/>
        </w:numPr>
        <w:pBdr>
          <w:top w:val="nil"/>
          <w:left w:val="nil"/>
          <w:bottom w:val="nil"/>
          <w:right w:val="nil"/>
          <w:between w:val="nil"/>
        </w:pBdr>
        <w:ind w:left="562" w:hanging="562"/>
        <w:rPr>
          <w:rFonts w:eastAsia="Arial" w:cs="Arial"/>
          <w:color w:val="000000"/>
          <w:szCs w:val="20"/>
        </w:rPr>
      </w:pPr>
      <w:r w:rsidRPr="004D0354">
        <w:rPr>
          <w:color w:val="000000"/>
        </w:rPr>
        <w:t xml:space="preserve">Details </w:t>
      </w:r>
      <w:r w:rsidR="00295648" w:rsidRPr="004D0354">
        <w:rPr>
          <w:color w:val="000000"/>
        </w:rPr>
        <w:t>of a special unit or staff responsible for conducting impact assessments</w:t>
      </w:r>
    </w:p>
    <w:p w14:paraId="7C78331C" w14:textId="04E15BCA" w:rsidR="00295648" w:rsidRPr="004D0354" w:rsidRDefault="0012380A" w:rsidP="00295648">
      <w:pPr>
        <w:numPr>
          <w:ilvl w:val="0"/>
          <w:numId w:val="16"/>
        </w:numPr>
        <w:pBdr>
          <w:top w:val="nil"/>
          <w:left w:val="nil"/>
          <w:bottom w:val="nil"/>
          <w:right w:val="nil"/>
          <w:between w:val="nil"/>
        </w:pBdr>
        <w:ind w:left="562" w:hanging="562"/>
        <w:rPr>
          <w:rFonts w:eastAsia="Arial" w:cs="Arial"/>
          <w:color w:val="000000"/>
          <w:szCs w:val="20"/>
        </w:rPr>
      </w:pPr>
      <w:r w:rsidRPr="004D0354">
        <w:rPr>
          <w:color w:val="000000"/>
        </w:rPr>
        <w:lastRenderedPageBreak/>
        <w:t>Im</w:t>
      </w:r>
      <w:r w:rsidR="00295648" w:rsidRPr="004D0354">
        <w:rPr>
          <w:color w:val="000000"/>
        </w:rPr>
        <w:t xml:space="preserve">pact assessment reports </w:t>
      </w:r>
      <w:r w:rsidRPr="004D0354">
        <w:rPr>
          <w:color w:val="000000"/>
        </w:rPr>
        <w:t xml:space="preserve">published </w:t>
      </w:r>
      <w:r w:rsidR="00295648" w:rsidRPr="004D0354">
        <w:rPr>
          <w:color w:val="000000"/>
        </w:rPr>
        <w:t>on the parliament</w:t>
      </w:r>
      <w:r w:rsidRPr="004D0354">
        <w:rPr>
          <w:color w:val="000000"/>
        </w:rPr>
        <w:t>ary</w:t>
      </w:r>
      <w:r w:rsidR="00295648" w:rsidRPr="004D0354">
        <w:rPr>
          <w:color w:val="000000"/>
        </w:rPr>
        <w:t xml:space="preserve"> </w:t>
      </w:r>
      <w:proofErr w:type="gramStart"/>
      <w:r w:rsidR="00295648" w:rsidRPr="004D0354">
        <w:rPr>
          <w:color w:val="000000"/>
        </w:rPr>
        <w:t>website</w:t>
      </w:r>
      <w:proofErr w:type="gramEnd"/>
    </w:p>
    <w:p w14:paraId="37BC62BB" w14:textId="77777777" w:rsidR="00295648" w:rsidRPr="004D0354" w:rsidRDefault="00295648" w:rsidP="00295648">
      <w:pPr>
        <w:pBdr>
          <w:top w:val="nil"/>
          <w:left w:val="nil"/>
          <w:bottom w:val="nil"/>
          <w:right w:val="nil"/>
          <w:between w:val="nil"/>
        </w:pBdr>
        <w:spacing w:line="276" w:lineRule="auto"/>
        <w:ind w:left="720"/>
        <w:rPr>
          <w:rFonts w:eastAsia="Arial" w:cs="Arial"/>
          <w:color w:val="000000"/>
          <w:szCs w:val="20"/>
          <w:lang w:eastAsia="en-GB"/>
        </w:rPr>
      </w:pPr>
    </w:p>
    <w:p w14:paraId="2A4DAD76" w14:textId="71D975B3" w:rsidR="00295648" w:rsidRPr="004D0354" w:rsidRDefault="00295648" w:rsidP="00295648">
      <w:pPr>
        <w:spacing w:line="276" w:lineRule="auto"/>
        <w:rPr>
          <w:rFonts w:eastAsia="Arial" w:cs="Arial"/>
          <w:szCs w:val="20"/>
        </w:rPr>
      </w:pPr>
      <w:r w:rsidRPr="004D0354">
        <w:t>Where relevant, provide additional comments or examples that support the assessment.</w:t>
      </w:r>
    </w:p>
    <w:p w14:paraId="01045E1D" w14:textId="77777777" w:rsidR="00295648" w:rsidRPr="004D0354" w:rsidRDefault="00295648" w:rsidP="00295648">
      <w:pPr>
        <w:spacing w:line="276" w:lineRule="auto"/>
        <w:rPr>
          <w:rFonts w:eastAsia="Arial" w:cs="Arial"/>
          <w:szCs w:val="20"/>
          <w:lang w:eastAsia="en-GB"/>
        </w:rPr>
      </w:pPr>
    </w:p>
    <w:p w14:paraId="203F0A3D" w14:textId="7EAABEB6" w:rsidR="00295648" w:rsidRPr="004D0354" w:rsidRDefault="00295648" w:rsidP="001030B6">
      <w:pPr>
        <w:pStyle w:val="Heading4"/>
      </w:pPr>
      <w:r w:rsidRPr="004D0354">
        <w:t xml:space="preserve">Assessment criterion 1: </w:t>
      </w:r>
      <w:r w:rsidR="002708C6" w:rsidRPr="004D0354">
        <w:t>Use of i</w:t>
      </w:r>
      <w:r w:rsidRPr="004D0354">
        <w:t>mpact assessment</w:t>
      </w:r>
      <w:r w:rsidR="00294B27" w:rsidRPr="004D0354">
        <w:t>s</w:t>
      </w:r>
    </w:p>
    <w:p w14:paraId="2D788DE8" w14:textId="35A6ECFE" w:rsidR="00295648" w:rsidRPr="004D0354" w:rsidRDefault="002708C6" w:rsidP="00295648">
      <w:pPr>
        <w:spacing w:line="276" w:lineRule="auto"/>
        <w:rPr>
          <w:rFonts w:eastAsia="Arial" w:cs="Arial"/>
          <w:szCs w:val="20"/>
        </w:rPr>
      </w:pPr>
      <w:r w:rsidRPr="004D0354">
        <w:t>Impact assessments of</w:t>
      </w:r>
      <w:r w:rsidR="009E215B" w:rsidRPr="004D0354">
        <w:t xml:space="preserve"> the positive and negative effects of proposals for laws on different groups in society</w:t>
      </w:r>
      <w:r w:rsidRPr="004D0354">
        <w:t xml:space="preserve"> are an established part of the law-making process</w:t>
      </w:r>
      <w:r w:rsidR="00295648" w:rsidRPr="004D0354">
        <w:t xml:space="preserve">. </w:t>
      </w:r>
    </w:p>
    <w:p w14:paraId="04E8C0E8" w14:textId="77777777" w:rsidR="00295648" w:rsidRPr="004D0354" w:rsidRDefault="00295648" w:rsidP="00295648">
      <w:pPr>
        <w:spacing w:line="276" w:lineRule="auto"/>
        <w:rPr>
          <w:rFonts w:eastAsia="Arial" w:cs="Arial"/>
          <w:szCs w:val="20"/>
          <w:lang w:eastAsia="en-GB"/>
        </w:rPr>
      </w:pPr>
    </w:p>
    <w:tbl>
      <w:tblPr>
        <w:tblW w:w="5000" w:type="pct"/>
        <w:tblLook w:val="0400" w:firstRow="0" w:lastRow="0" w:firstColumn="0" w:lastColumn="0" w:noHBand="0" w:noVBand="1"/>
      </w:tblPr>
      <w:tblGrid>
        <w:gridCol w:w="1462"/>
        <w:gridCol w:w="1463"/>
        <w:gridCol w:w="1463"/>
        <w:gridCol w:w="1463"/>
        <w:gridCol w:w="1463"/>
        <w:gridCol w:w="1466"/>
      </w:tblGrid>
      <w:tr w:rsidR="00295648" w:rsidRPr="004D0354" w14:paraId="3493A5F6" w14:textId="77777777" w:rsidTr="00294B2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BDCA7FD" w14:textId="77777777" w:rsidR="00295648" w:rsidRPr="004D0354" w:rsidRDefault="00295648">
            <w:pPr>
              <w:spacing w:line="276" w:lineRule="auto"/>
              <w:jc w:val="center"/>
              <w:rPr>
                <w:rFonts w:cs="Arial"/>
                <w:szCs w:val="20"/>
              </w:rPr>
            </w:pPr>
            <w:r w:rsidRPr="004D0354">
              <w:t>Non-existent</w:t>
            </w:r>
          </w:p>
          <w:sdt>
            <w:sdtPr>
              <w:rPr>
                <w:rFonts w:eastAsia="Arimo" w:cs="Arial"/>
                <w:szCs w:val="20"/>
              </w:rPr>
              <w:id w:val="-714893565"/>
              <w14:checkbox>
                <w14:checked w14:val="0"/>
                <w14:checkedState w14:val="2612" w14:font="MS Gothic"/>
                <w14:uncheckedState w14:val="2610" w14:font="MS Gothic"/>
              </w14:checkbox>
            </w:sdtPr>
            <w:sdtEndPr/>
            <w:sdtContent>
              <w:p w14:paraId="1B255D4B" w14:textId="77777777" w:rsidR="00295648" w:rsidRPr="004D0354" w:rsidRDefault="00295648">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78CB8F" w14:textId="77777777" w:rsidR="00295648" w:rsidRPr="004D0354" w:rsidRDefault="00295648">
            <w:pPr>
              <w:spacing w:line="276" w:lineRule="auto"/>
              <w:jc w:val="center"/>
              <w:rPr>
                <w:rFonts w:cs="Arial"/>
                <w:szCs w:val="20"/>
              </w:rPr>
            </w:pPr>
            <w:r w:rsidRPr="004D0354">
              <w:t xml:space="preserve">Rudimentary </w:t>
            </w:r>
          </w:p>
          <w:sdt>
            <w:sdtPr>
              <w:rPr>
                <w:rFonts w:eastAsia="Arimo" w:cs="Arial"/>
                <w:szCs w:val="20"/>
              </w:rPr>
              <w:id w:val="-1540896117"/>
              <w14:checkbox>
                <w14:checked w14:val="0"/>
                <w14:checkedState w14:val="2612" w14:font="MS Gothic"/>
                <w14:uncheckedState w14:val="2610" w14:font="MS Gothic"/>
              </w14:checkbox>
            </w:sdtPr>
            <w:sdtEndPr/>
            <w:sdtContent>
              <w:p w14:paraId="4C25E119" w14:textId="77777777" w:rsidR="00295648" w:rsidRPr="004D0354" w:rsidRDefault="00295648">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39661B" w14:textId="77777777" w:rsidR="00295648" w:rsidRPr="004D0354" w:rsidRDefault="00295648">
            <w:pPr>
              <w:spacing w:line="276" w:lineRule="auto"/>
              <w:jc w:val="center"/>
              <w:rPr>
                <w:rFonts w:cs="Arial"/>
                <w:szCs w:val="20"/>
              </w:rPr>
            </w:pPr>
            <w:r w:rsidRPr="004D0354">
              <w:t>Basic</w:t>
            </w:r>
          </w:p>
          <w:sdt>
            <w:sdtPr>
              <w:rPr>
                <w:rFonts w:eastAsia="Arimo" w:cs="Arial"/>
                <w:szCs w:val="20"/>
              </w:rPr>
              <w:id w:val="-1462575893"/>
              <w14:checkbox>
                <w14:checked w14:val="0"/>
                <w14:checkedState w14:val="2612" w14:font="MS Gothic"/>
                <w14:uncheckedState w14:val="2610" w14:font="MS Gothic"/>
              </w14:checkbox>
            </w:sdtPr>
            <w:sdtEndPr/>
            <w:sdtContent>
              <w:p w14:paraId="090EF47A" w14:textId="77777777" w:rsidR="00295648" w:rsidRPr="004D0354" w:rsidRDefault="00295648">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C5978E" w14:textId="77777777" w:rsidR="00295648" w:rsidRPr="004D0354" w:rsidRDefault="00295648">
            <w:pPr>
              <w:spacing w:line="276" w:lineRule="auto"/>
              <w:jc w:val="center"/>
              <w:rPr>
                <w:rFonts w:cs="Arial"/>
                <w:szCs w:val="20"/>
              </w:rPr>
            </w:pPr>
            <w:r w:rsidRPr="004D0354">
              <w:t>Good</w:t>
            </w:r>
          </w:p>
          <w:sdt>
            <w:sdtPr>
              <w:rPr>
                <w:rFonts w:eastAsia="Arimo" w:cs="Arial"/>
                <w:szCs w:val="20"/>
              </w:rPr>
              <w:id w:val="-1781873763"/>
              <w14:checkbox>
                <w14:checked w14:val="0"/>
                <w14:checkedState w14:val="2612" w14:font="MS Gothic"/>
                <w14:uncheckedState w14:val="2610" w14:font="MS Gothic"/>
              </w14:checkbox>
            </w:sdtPr>
            <w:sdtEndPr/>
            <w:sdtContent>
              <w:p w14:paraId="4053F502" w14:textId="77777777" w:rsidR="00295648" w:rsidRPr="004D0354" w:rsidRDefault="00295648">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EB2012" w14:textId="77777777" w:rsidR="00295648" w:rsidRPr="004D0354" w:rsidRDefault="00295648">
            <w:pPr>
              <w:spacing w:line="276" w:lineRule="auto"/>
              <w:jc w:val="center"/>
              <w:rPr>
                <w:rFonts w:cs="Arial"/>
                <w:szCs w:val="20"/>
              </w:rPr>
            </w:pPr>
            <w:r w:rsidRPr="004D0354">
              <w:t>Very good</w:t>
            </w:r>
          </w:p>
          <w:sdt>
            <w:sdtPr>
              <w:rPr>
                <w:rFonts w:eastAsia="Arimo" w:cs="Arial"/>
                <w:szCs w:val="20"/>
              </w:rPr>
              <w:id w:val="-765381454"/>
              <w14:checkbox>
                <w14:checked w14:val="0"/>
                <w14:checkedState w14:val="2612" w14:font="MS Gothic"/>
                <w14:uncheckedState w14:val="2610" w14:font="MS Gothic"/>
              </w14:checkbox>
            </w:sdtPr>
            <w:sdtEndPr/>
            <w:sdtContent>
              <w:p w14:paraId="2A3A4448" w14:textId="77777777" w:rsidR="00295648" w:rsidRPr="004D0354" w:rsidRDefault="00295648">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85A4DCF" w14:textId="77777777" w:rsidR="00295648" w:rsidRPr="004D0354" w:rsidRDefault="00295648">
            <w:pPr>
              <w:spacing w:line="276" w:lineRule="auto"/>
              <w:jc w:val="center"/>
              <w:rPr>
                <w:rFonts w:cs="Arial"/>
                <w:szCs w:val="20"/>
              </w:rPr>
            </w:pPr>
            <w:r w:rsidRPr="004D0354">
              <w:t>Excellent</w:t>
            </w:r>
          </w:p>
          <w:sdt>
            <w:sdtPr>
              <w:rPr>
                <w:rFonts w:eastAsia="Arimo" w:cs="Arial"/>
                <w:szCs w:val="20"/>
              </w:rPr>
              <w:id w:val="-628323880"/>
              <w14:checkbox>
                <w14:checked w14:val="0"/>
                <w14:checkedState w14:val="2612" w14:font="MS Gothic"/>
                <w14:uncheckedState w14:val="2610" w14:font="MS Gothic"/>
              </w14:checkbox>
            </w:sdtPr>
            <w:sdtEndPr/>
            <w:sdtContent>
              <w:p w14:paraId="5B67B4E5" w14:textId="77777777" w:rsidR="00295648" w:rsidRPr="004D0354" w:rsidRDefault="00295648">
                <w:pPr>
                  <w:spacing w:line="276" w:lineRule="auto"/>
                  <w:jc w:val="center"/>
                  <w:rPr>
                    <w:rFonts w:cs="Arial"/>
                    <w:szCs w:val="20"/>
                  </w:rPr>
                </w:pPr>
                <w:r w:rsidRPr="004D0354">
                  <w:rPr>
                    <w:rFonts w:ascii="MS Gothic" w:eastAsia="MS Gothic" w:hAnsi="MS Gothic" w:cs="Arial"/>
                    <w:szCs w:val="20"/>
                  </w:rPr>
                  <w:t>☐</w:t>
                </w:r>
              </w:p>
            </w:sdtContent>
          </w:sdt>
        </w:tc>
      </w:tr>
      <w:tr w:rsidR="00295648" w:rsidRPr="004D0354" w14:paraId="7C99BB23" w14:textId="77777777" w:rsidTr="0029564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29002" w14:textId="77777777" w:rsidR="00295648" w:rsidRPr="004D0354" w:rsidRDefault="00295648">
            <w:pPr>
              <w:spacing w:line="276" w:lineRule="auto"/>
              <w:rPr>
                <w:rFonts w:cs="Arial"/>
                <w:color w:val="005F9A"/>
                <w:szCs w:val="20"/>
              </w:rPr>
            </w:pPr>
            <w:r w:rsidRPr="004D0354">
              <w:rPr>
                <w:color w:val="005F9A"/>
              </w:rPr>
              <w:t>Evidence for this assessment criterion:</w:t>
            </w:r>
          </w:p>
          <w:p w14:paraId="3D6B54B3" w14:textId="77777777" w:rsidR="00295648" w:rsidRPr="004D0354" w:rsidRDefault="00295648">
            <w:pPr>
              <w:spacing w:line="276" w:lineRule="auto"/>
              <w:rPr>
                <w:rFonts w:cs="Arial"/>
                <w:color w:val="0000FF"/>
                <w:sz w:val="18"/>
                <w:szCs w:val="18"/>
              </w:rPr>
            </w:pPr>
          </w:p>
          <w:p w14:paraId="599D24CD" w14:textId="77777777" w:rsidR="00295648" w:rsidRPr="004D0354" w:rsidRDefault="00295648">
            <w:pPr>
              <w:spacing w:line="276" w:lineRule="auto"/>
              <w:rPr>
                <w:rFonts w:cs="Arial"/>
                <w:color w:val="0000FF"/>
                <w:sz w:val="18"/>
                <w:szCs w:val="18"/>
              </w:rPr>
            </w:pPr>
          </w:p>
        </w:tc>
      </w:tr>
    </w:tbl>
    <w:p w14:paraId="2746E285" w14:textId="17C8DD5F" w:rsidR="00294B27" w:rsidRPr="004D0354" w:rsidRDefault="00294B27" w:rsidP="001030B6">
      <w:pPr>
        <w:pStyle w:val="Heading4"/>
      </w:pPr>
      <w:r w:rsidRPr="004D0354">
        <w:t>Assessment criterion 2: Expertise</w:t>
      </w:r>
    </w:p>
    <w:p w14:paraId="656CDC4F" w14:textId="0BA41FA7" w:rsidR="00294B27" w:rsidRPr="004D0354" w:rsidRDefault="00294B27" w:rsidP="00294B27">
      <w:pPr>
        <w:spacing w:line="276" w:lineRule="auto"/>
        <w:rPr>
          <w:rFonts w:eastAsia="Arial" w:cs="Arial"/>
          <w:szCs w:val="20"/>
        </w:rPr>
      </w:pPr>
      <w:r w:rsidRPr="004D0354">
        <w:t xml:space="preserve">Parliament has the necessary expertise, among parliamentary staff, advisory </w:t>
      </w:r>
      <w:proofErr w:type="gramStart"/>
      <w:r w:rsidRPr="004D0354">
        <w:t>bodies</w:t>
      </w:r>
      <w:proofErr w:type="gramEnd"/>
      <w:r w:rsidRPr="004D0354">
        <w:t xml:space="preserve"> or external experts, to </w:t>
      </w:r>
      <w:r w:rsidRPr="004D0354">
        <w:rPr>
          <w:rFonts w:eastAsia="Arial" w:cs="Arial"/>
          <w:szCs w:val="20"/>
        </w:rPr>
        <w:t>analyse impact assessments reports or</w:t>
      </w:r>
      <w:r w:rsidRPr="004D0354">
        <w:t xml:space="preserve"> to conduct or commission its own impact assessments.</w:t>
      </w:r>
    </w:p>
    <w:p w14:paraId="1C4CB44B" w14:textId="77777777" w:rsidR="00294B27" w:rsidRPr="004D0354" w:rsidRDefault="00294B27" w:rsidP="00294B27">
      <w:pPr>
        <w:spacing w:line="276" w:lineRule="auto"/>
        <w:rPr>
          <w:rFonts w:eastAsia="Arial" w:cs="Arial"/>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294B27" w:rsidRPr="004D0354" w14:paraId="065FB454" w14:textId="77777777" w:rsidTr="001F1B5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AD62CF" w14:textId="77777777" w:rsidR="00294B27" w:rsidRPr="004D0354" w:rsidRDefault="00294B27" w:rsidP="001F1B55">
            <w:pPr>
              <w:spacing w:line="276" w:lineRule="auto"/>
              <w:jc w:val="center"/>
              <w:rPr>
                <w:rFonts w:cs="Arial"/>
                <w:szCs w:val="20"/>
              </w:rPr>
            </w:pPr>
            <w:r w:rsidRPr="004D0354">
              <w:t>Non-existent</w:t>
            </w:r>
          </w:p>
          <w:sdt>
            <w:sdtPr>
              <w:rPr>
                <w:rFonts w:eastAsia="Arimo" w:cs="Arial"/>
                <w:szCs w:val="20"/>
              </w:rPr>
              <w:id w:val="636454617"/>
              <w14:checkbox>
                <w14:checked w14:val="0"/>
                <w14:checkedState w14:val="2612" w14:font="MS Gothic"/>
                <w14:uncheckedState w14:val="2610" w14:font="MS Gothic"/>
              </w14:checkbox>
            </w:sdtPr>
            <w:sdtEndPr/>
            <w:sdtContent>
              <w:p w14:paraId="27B47691" w14:textId="77777777" w:rsidR="00294B27" w:rsidRPr="004D0354" w:rsidRDefault="00294B27" w:rsidP="001F1B55">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356A92" w14:textId="77777777" w:rsidR="00294B27" w:rsidRPr="004D0354" w:rsidRDefault="00294B27" w:rsidP="001F1B55">
            <w:pPr>
              <w:spacing w:line="276" w:lineRule="auto"/>
              <w:jc w:val="center"/>
              <w:rPr>
                <w:rFonts w:cs="Arial"/>
                <w:szCs w:val="20"/>
              </w:rPr>
            </w:pPr>
            <w:r w:rsidRPr="004D0354">
              <w:t xml:space="preserve">Rudimentary </w:t>
            </w:r>
          </w:p>
          <w:sdt>
            <w:sdtPr>
              <w:rPr>
                <w:rFonts w:eastAsia="Arimo" w:cs="Arial"/>
                <w:szCs w:val="20"/>
              </w:rPr>
              <w:id w:val="-1643492097"/>
              <w14:checkbox>
                <w14:checked w14:val="0"/>
                <w14:checkedState w14:val="2612" w14:font="MS Gothic"/>
                <w14:uncheckedState w14:val="2610" w14:font="MS Gothic"/>
              </w14:checkbox>
            </w:sdtPr>
            <w:sdtEndPr/>
            <w:sdtContent>
              <w:p w14:paraId="09465156" w14:textId="77777777" w:rsidR="00294B27" w:rsidRPr="004D0354" w:rsidRDefault="00294B27" w:rsidP="001F1B55">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AB121A" w14:textId="77777777" w:rsidR="00294B27" w:rsidRPr="004D0354" w:rsidRDefault="00294B27" w:rsidP="001F1B55">
            <w:pPr>
              <w:spacing w:line="276" w:lineRule="auto"/>
              <w:jc w:val="center"/>
              <w:rPr>
                <w:rFonts w:cs="Arial"/>
                <w:szCs w:val="20"/>
              </w:rPr>
            </w:pPr>
            <w:r w:rsidRPr="004D0354">
              <w:t>Basic</w:t>
            </w:r>
          </w:p>
          <w:sdt>
            <w:sdtPr>
              <w:rPr>
                <w:rFonts w:eastAsia="Arimo" w:cs="Arial"/>
                <w:szCs w:val="20"/>
              </w:rPr>
              <w:id w:val="856469901"/>
              <w14:checkbox>
                <w14:checked w14:val="0"/>
                <w14:checkedState w14:val="2612" w14:font="MS Gothic"/>
                <w14:uncheckedState w14:val="2610" w14:font="MS Gothic"/>
              </w14:checkbox>
            </w:sdtPr>
            <w:sdtEndPr/>
            <w:sdtContent>
              <w:p w14:paraId="62E262AF" w14:textId="77777777" w:rsidR="00294B27" w:rsidRPr="004D0354" w:rsidRDefault="00294B27" w:rsidP="001F1B55">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F0BB5A" w14:textId="77777777" w:rsidR="00294B27" w:rsidRPr="004D0354" w:rsidRDefault="00294B27" w:rsidP="001F1B55">
            <w:pPr>
              <w:spacing w:line="276" w:lineRule="auto"/>
              <w:jc w:val="center"/>
              <w:rPr>
                <w:rFonts w:cs="Arial"/>
                <w:szCs w:val="20"/>
              </w:rPr>
            </w:pPr>
            <w:r w:rsidRPr="004D0354">
              <w:t>Good</w:t>
            </w:r>
          </w:p>
          <w:sdt>
            <w:sdtPr>
              <w:rPr>
                <w:rFonts w:eastAsia="Arimo" w:cs="Arial"/>
                <w:szCs w:val="20"/>
              </w:rPr>
              <w:id w:val="-465439205"/>
              <w14:checkbox>
                <w14:checked w14:val="0"/>
                <w14:checkedState w14:val="2612" w14:font="MS Gothic"/>
                <w14:uncheckedState w14:val="2610" w14:font="MS Gothic"/>
              </w14:checkbox>
            </w:sdtPr>
            <w:sdtEndPr/>
            <w:sdtContent>
              <w:p w14:paraId="2B503520" w14:textId="77777777" w:rsidR="00294B27" w:rsidRPr="004D0354" w:rsidRDefault="00294B27" w:rsidP="001F1B55">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12E6C4" w14:textId="77777777" w:rsidR="00294B27" w:rsidRPr="004D0354" w:rsidRDefault="00294B27" w:rsidP="001F1B55">
            <w:pPr>
              <w:spacing w:line="276" w:lineRule="auto"/>
              <w:jc w:val="center"/>
              <w:rPr>
                <w:rFonts w:cs="Arial"/>
                <w:szCs w:val="20"/>
              </w:rPr>
            </w:pPr>
            <w:r w:rsidRPr="004D0354">
              <w:t>Very good</w:t>
            </w:r>
          </w:p>
          <w:sdt>
            <w:sdtPr>
              <w:rPr>
                <w:rFonts w:eastAsia="Arimo" w:cs="Arial"/>
                <w:szCs w:val="20"/>
              </w:rPr>
              <w:id w:val="-647359797"/>
              <w14:checkbox>
                <w14:checked w14:val="0"/>
                <w14:checkedState w14:val="2612" w14:font="MS Gothic"/>
                <w14:uncheckedState w14:val="2610" w14:font="MS Gothic"/>
              </w14:checkbox>
            </w:sdtPr>
            <w:sdtEndPr/>
            <w:sdtContent>
              <w:p w14:paraId="532BB462" w14:textId="77777777" w:rsidR="00294B27" w:rsidRPr="004D0354" w:rsidRDefault="00294B27" w:rsidP="001F1B55">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EB402DF" w14:textId="77777777" w:rsidR="00294B27" w:rsidRPr="004D0354" w:rsidRDefault="00294B27" w:rsidP="001F1B55">
            <w:pPr>
              <w:spacing w:line="276" w:lineRule="auto"/>
              <w:jc w:val="center"/>
              <w:rPr>
                <w:rFonts w:cs="Arial"/>
                <w:szCs w:val="20"/>
              </w:rPr>
            </w:pPr>
            <w:r w:rsidRPr="004D0354">
              <w:t>Excellent</w:t>
            </w:r>
          </w:p>
          <w:sdt>
            <w:sdtPr>
              <w:rPr>
                <w:rFonts w:eastAsia="Arimo" w:cs="Arial"/>
                <w:szCs w:val="20"/>
              </w:rPr>
              <w:id w:val="849145280"/>
              <w14:checkbox>
                <w14:checked w14:val="0"/>
                <w14:checkedState w14:val="2612" w14:font="MS Gothic"/>
                <w14:uncheckedState w14:val="2610" w14:font="MS Gothic"/>
              </w14:checkbox>
            </w:sdtPr>
            <w:sdtEndPr/>
            <w:sdtContent>
              <w:p w14:paraId="6ADEF4BC" w14:textId="77777777" w:rsidR="00294B27" w:rsidRPr="004D0354" w:rsidRDefault="00294B27" w:rsidP="001F1B55">
                <w:pPr>
                  <w:spacing w:line="276" w:lineRule="auto"/>
                  <w:jc w:val="center"/>
                  <w:rPr>
                    <w:rFonts w:cs="Arial"/>
                    <w:szCs w:val="20"/>
                  </w:rPr>
                </w:pPr>
                <w:r w:rsidRPr="004D0354">
                  <w:rPr>
                    <w:rFonts w:ascii="MS Gothic" w:eastAsia="MS Gothic" w:hAnsi="MS Gothic" w:cs="Arial"/>
                    <w:szCs w:val="20"/>
                  </w:rPr>
                  <w:t>☐</w:t>
                </w:r>
              </w:p>
            </w:sdtContent>
          </w:sdt>
        </w:tc>
      </w:tr>
      <w:tr w:rsidR="00294B27" w:rsidRPr="004D0354" w14:paraId="788104A8" w14:textId="77777777" w:rsidTr="001F1B5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5C0E0" w14:textId="77777777" w:rsidR="00294B27" w:rsidRPr="004D0354" w:rsidRDefault="00294B27" w:rsidP="001F1B55">
            <w:pPr>
              <w:spacing w:line="276" w:lineRule="auto"/>
              <w:rPr>
                <w:rFonts w:cs="Arial"/>
                <w:color w:val="005F9A"/>
                <w:szCs w:val="20"/>
              </w:rPr>
            </w:pPr>
            <w:r w:rsidRPr="004D0354">
              <w:rPr>
                <w:color w:val="005F9A"/>
              </w:rPr>
              <w:t>Evidence for this assessment criterion:</w:t>
            </w:r>
          </w:p>
          <w:p w14:paraId="2C151A5B" w14:textId="77777777" w:rsidR="00294B27" w:rsidRPr="004D0354" w:rsidRDefault="00294B27" w:rsidP="001F1B55">
            <w:pPr>
              <w:spacing w:line="276" w:lineRule="auto"/>
              <w:rPr>
                <w:rFonts w:cs="Arial"/>
                <w:color w:val="0000FF"/>
                <w:sz w:val="18"/>
                <w:szCs w:val="18"/>
              </w:rPr>
            </w:pPr>
          </w:p>
          <w:p w14:paraId="40A0EBC0" w14:textId="77777777" w:rsidR="00294B27" w:rsidRPr="004D0354" w:rsidRDefault="00294B27" w:rsidP="001F1B55">
            <w:pPr>
              <w:spacing w:line="276" w:lineRule="auto"/>
              <w:rPr>
                <w:rFonts w:cs="Arial"/>
                <w:color w:val="0000FF"/>
                <w:sz w:val="18"/>
                <w:szCs w:val="18"/>
              </w:rPr>
            </w:pPr>
          </w:p>
        </w:tc>
      </w:tr>
    </w:tbl>
    <w:p w14:paraId="6B2494A2" w14:textId="5D8AE90C" w:rsidR="00295648" w:rsidRPr="004D0354" w:rsidRDefault="00295648" w:rsidP="001030B6">
      <w:pPr>
        <w:pStyle w:val="Heading4"/>
      </w:pPr>
      <w:r w:rsidRPr="004D0354">
        <w:t xml:space="preserve">Assessment criterion </w:t>
      </w:r>
      <w:r w:rsidR="00294B27" w:rsidRPr="004D0354">
        <w:t>3</w:t>
      </w:r>
      <w:r w:rsidRPr="004D0354">
        <w:t xml:space="preserve">: </w:t>
      </w:r>
      <w:r w:rsidR="002708C6" w:rsidRPr="004D0354">
        <w:t>Publication</w:t>
      </w:r>
    </w:p>
    <w:p w14:paraId="7566EAAF" w14:textId="7ADD597E" w:rsidR="00295648" w:rsidRPr="004D0354" w:rsidRDefault="005968D1" w:rsidP="00295648">
      <w:pPr>
        <w:spacing w:line="276" w:lineRule="auto"/>
        <w:rPr>
          <w:rFonts w:eastAsia="Arial" w:cs="Arial"/>
          <w:szCs w:val="20"/>
        </w:rPr>
      </w:pPr>
      <w:r w:rsidRPr="004D0354">
        <w:rPr>
          <w:rFonts w:eastAsia="Arial" w:cs="Arial"/>
          <w:szCs w:val="20"/>
        </w:rPr>
        <w:t>The findings and reports of impact assessments</w:t>
      </w:r>
      <w:r w:rsidR="00294B27" w:rsidRPr="004D0354">
        <w:rPr>
          <w:rFonts w:eastAsia="Arial" w:cs="Arial"/>
          <w:szCs w:val="20"/>
        </w:rPr>
        <w:t>, whether carried out by parliament or by the executive,</w:t>
      </w:r>
      <w:r w:rsidRPr="004D0354">
        <w:rPr>
          <w:rFonts w:eastAsia="Arial" w:cs="Arial"/>
          <w:szCs w:val="20"/>
        </w:rPr>
        <w:t xml:space="preserve"> are </w:t>
      </w:r>
      <w:r w:rsidRPr="004D0354">
        <w:rPr>
          <w:szCs w:val="32"/>
        </w:rPr>
        <w:t xml:space="preserve">made available to MPs and </w:t>
      </w:r>
      <w:r w:rsidR="00294B27" w:rsidRPr="004D0354">
        <w:rPr>
          <w:szCs w:val="32"/>
        </w:rPr>
        <w:t xml:space="preserve">the </w:t>
      </w:r>
      <w:r w:rsidRPr="004D0354">
        <w:rPr>
          <w:szCs w:val="32"/>
        </w:rPr>
        <w:t>public</w:t>
      </w:r>
      <w:r w:rsidR="00295648" w:rsidRPr="004D0354">
        <w:t xml:space="preserve">. </w:t>
      </w:r>
    </w:p>
    <w:p w14:paraId="01717EEC" w14:textId="77777777" w:rsidR="002C46B2" w:rsidRPr="004D0354" w:rsidRDefault="002C46B2" w:rsidP="000A4BAE">
      <w:pPr>
        <w:keepLines/>
        <w:rPr>
          <w:rFonts w:eastAsia="Arial" w:cs="Arial"/>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295648" w:rsidRPr="004D0354" w14:paraId="3A344BA9" w14:textId="77777777" w:rsidTr="002C46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4BAD3E" w14:textId="77777777" w:rsidR="00295648" w:rsidRPr="004D0354" w:rsidRDefault="00295648" w:rsidP="000A4BAE">
            <w:pPr>
              <w:keepLines/>
              <w:jc w:val="center"/>
              <w:rPr>
                <w:rFonts w:cs="Arial"/>
                <w:szCs w:val="20"/>
              </w:rPr>
            </w:pPr>
            <w:r w:rsidRPr="004D0354">
              <w:t>Non-existent</w:t>
            </w:r>
          </w:p>
          <w:sdt>
            <w:sdtPr>
              <w:rPr>
                <w:rFonts w:eastAsia="Arimo" w:cs="Arial"/>
                <w:szCs w:val="20"/>
              </w:rPr>
              <w:id w:val="-131953379"/>
              <w14:checkbox>
                <w14:checked w14:val="0"/>
                <w14:checkedState w14:val="2612" w14:font="MS Gothic"/>
                <w14:uncheckedState w14:val="2610" w14:font="MS Gothic"/>
              </w14:checkbox>
            </w:sdtPr>
            <w:sdtEndPr/>
            <w:sdtContent>
              <w:p w14:paraId="6F41D952" w14:textId="77777777" w:rsidR="00295648" w:rsidRPr="004D0354" w:rsidRDefault="00295648" w:rsidP="000A4BAE">
                <w:pPr>
                  <w:keepLines/>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3B08AA" w14:textId="77777777" w:rsidR="00295648" w:rsidRPr="004D0354" w:rsidRDefault="00295648" w:rsidP="000A4BAE">
            <w:pPr>
              <w:keepLines/>
              <w:jc w:val="center"/>
              <w:rPr>
                <w:rFonts w:cs="Arial"/>
                <w:szCs w:val="20"/>
              </w:rPr>
            </w:pPr>
            <w:r w:rsidRPr="004D0354">
              <w:t xml:space="preserve">Rudimentary </w:t>
            </w:r>
          </w:p>
          <w:sdt>
            <w:sdtPr>
              <w:rPr>
                <w:rFonts w:eastAsia="Arimo" w:cs="Arial"/>
                <w:szCs w:val="20"/>
              </w:rPr>
              <w:id w:val="-119914564"/>
              <w14:checkbox>
                <w14:checked w14:val="0"/>
                <w14:checkedState w14:val="2612" w14:font="MS Gothic"/>
                <w14:uncheckedState w14:val="2610" w14:font="MS Gothic"/>
              </w14:checkbox>
            </w:sdtPr>
            <w:sdtEndPr/>
            <w:sdtContent>
              <w:p w14:paraId="0FC82E90" w14:textId="77777777" w:rsidR="00295648" w:rsidRPr="004D0354" w:rsidRDefault="00295648" w:rsidP="000A4BAE">
                <w:pPr>
                  <w:keepLines/>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AF04C3" w14:textId="77777777" w:rsidR="00295648" w:rsidRPr="004D0354" w:rsidRDefault="00295648" w:rsidP="000A4BAE">
            <w:pPr>
              <w:keepLines/>
              <w:jc w:val="center"/>
              <w:rPr>
                <w:rFonts w:cs="Arial"/>
                <w:szCs w:val="20"/>
              </w:rPr>
            </w:pPr>
            <w:r w:rsidRPr="004D0354">
              <w:t>Basic</w:t>
            </w:r>
          </w:p>
          <w:sdt>
            <w:sdtPr>
              <w:rPr>
                <w:rFonts w:eastAsia="Arimo" w:cs="Arial"/>
                <w:szCs w:val="20"/>
              </w:rPr>
              <w:id w:val="1963379404"/>
              <w14:checkbox>
                <w14:checked w14:val="0"/>
                <w14:checkedState w14:val="2612" w14:font="MS Gothic"/>
                <w14:uncheckedState w14:val="2610" w14:font="MS Gothic"/>
              </w14:checkbox>
            </w:sdtPr>
            <w:sdtEndPr/>
            <w:sdtContent>
              <w:p w14:paraId="0E565408" w14:textId="77777777" w:rsidR="00295648" w:rsidRPr="004D0354" w:rsidRDefault="00295648" w:rsidP="000A4BAE">
                <w:pPr>
                  <w:keepLines/>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E26A4F" w14:textId="77777777" w:rsidR="00295648" w:rsidRPr="004D0354" w:rsidRDefault="00295648" w:rsidP="000A4BAE">
            <w:pPr>
              <w:keepLines/>
              <w:jc w:val="center"/>
              <w:rPr>
                <w:rFonts w:cs="Arial"/>
                <w:szCs w:val="20"/>
              </w:rPr>
            </w:pPr>
            <w:r w:rsidRPr="004D0354">
              <w:t>Good</w:t>
            </w:r>
          </w:p>
          <w:sdt>
            <w:sdtPr>
              <w:rPr>
                <w:rFonts w:eastAsia="Arimo" w:cs="Arial"/>
                <w:szCs w:val="20"/>
              </w:rPr>
              <w:id w:val="1250700982"/>
              <w14:checkbox>
                <w14:checked w14:val="0"/>
                <w14:checkedState w14:val="2612" w14:font="MS Gothic"/>
                <w14:uncheckedState w14:val="2610" w14:font="MS Gothic"/>
              </w14:checkbox>
            </w:sdtPr>
            <w:sdtEndPr/>
            <w:sdtContent>
              <w:p w14:paraId="29152368" w14:textId="77777777" w:rsidR="00295648" w:rsidRPr="004D0354" w:rsidRDefault="00295648" w:rsidP="000A4BAE">
                <w:pPr>
                  <w:keepLines/>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FC03EE" w14:textId="77777777" w:rsidR="00295648" w:rsidRPr="004D0354" w:rsidRDefault="00295648" w:rsidP="000A4BAE">
            <w:pPr>
              <w:keepLines/>
              <w:jc w:val="center"/>
              <w:rPr>
                <w:rFonts w:cs="Arial"/>
                <w:szCs w:val="20"/>
              </w:rPr>
            </w:pPr>
            <w:r w:rsidRPr="004D0354">
              <w:t>Very good</w:t>
            </w:r>
          </w:p>
          <w:sdt>
            <w:sdtPr>
              <w:rPr>
                <w:rFonts w:eastAsia="Arimo" w:cs="Arial"/>
                <w:szCs w:val="20"/>
              </w:rPr>
              <w:id w:val="1285308149"/>
              <w14:checkbox>
                <w14:checked w14:val="0"/>
                <w14:checkedState w14:val="2612" w14:font="MS Gothic"/>
                <w14:uncheckedState w14:val="2610" w14:font="MS Gothic"/>
              </w14:checkbox>
            </w:sdtPr>
            <w:sdtEndPr/>
            <w:sdtContent>
              <w:p w14:paraId="212F8F50" w14:textId="77777777" w:rsidR="00295648" w:rsidRPr="004D0354" w:rsidRDefault="00295648" w:rsidP="000A4BAE">
                <w:pPr>
                  <w:keepLines/>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899BF56" w14:textId="77777777" w:rsidR="00295648" w:rsidRPr="004D0354" w:rsidRDefault="00295648" w:rsidP="000A4BAE">
            <w:pPr>
              <w:keepLines/>
              <w:jc w:val="center"/>
              <w:rPr>
                <w:rFonts w:cs="Arial"/>
                <w:szCs w:val="20"/>
              </w:rPr>
            </w:pPr>
            <w:r w:rsidRPr="004D0354">
              <w:t>Excellent</w:t>
            </w:r>
          </w:p>
          <w:sdt>
            <w:sdtPr>
              <w:rPr>
                <w:rFonts w:eastAsia="Arimo" w:cs="Arial"/>
                <w:szCs w:val="20"/>
              </w:rPr>
              <w:id w:val="-1814716311"/>
              <w14:checkbox>
                <w14:checked w14:val="0"/>
                <w14:checkedState w14:val="2612" w14:font="MS Gothic"/>
                <w14:uncheckedState w14:val="2610" w14:font="MS Gothic"/>
              </w14:checkbox>
            </w:sdtPr>
            <w:sdtEndPr/>
            <w:sdtContent>
              <w:p w14:paraId="7D4E26D2" w14:textId="77777777" w:rsidR="00295648" w:rsidRPr="004D0354" w:rsidRDefault="00295648" w:rsidP="000A4BAE">
                <w:pPr>
                  <w:keepLines/>
                  <w:jc w:val="center"/>
                  <w:rPr>
                    <w:rFonts w:cs="Arial"/>
                    <w:szCs w:val="20"/>
                  </w:rPr>
                </w:pPr>
                <w:r w:rsidRPr="004D0354">
                  <w:rPr>
                    <w:rFonts w:ascii="MS Gothic" w:eastAsia="MS Gothic" w:hAnsi="MS Gothic" w:cs="Arial"/>
                    <w:szCs w:val="20"/>
                  </w:rPr>
                  <w:t>☐</w:t>
                </w:r>
              </w:p>
            </w:sdtContent>
          </w:sdt>
        </w:tc>
      </w:tr>
      <w:tr w:rsidR="00295648" w:rsidRPr="004D0354" w14:paraId="5578B107" w14:textId="77777777" w:rsidTr="002C46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77887" w14:textId="77777777" w:rsidR="00295648" w:rsidRPr="004D0354" w:rsidRDefault="00295648" w:rsidP="000A4BAE">
            <w:pPr>
              <w:keepLines/>
              <w:rPr>
                <w:rFonts w:cs="Arial"/>
                <w:color w:val="005F9A"/>
                <w:szCs w:val="20"/>
              </w:rPr>
            </w:pPr>
            <w:r w:rsidRPr="004D0354">
              <w:rPr>
                <w:color w:val="005F9A"/>
              </w:rPr>
              <w:t>Evidence for this assessment criterion:</w:t>
            </w:r>
          </w:p>
          <w:p w14:paraId="67E77642" w14:textId="77777777" w:rsidR="00295648" w:rsidRPr="004D0354" w:rsidRDefault="00295648" w:rsidP="000A4BAE">
            <w:pPr>
              <w:keepLines/>
              <w:rPr>
                <w:rFonts w:cs="Arial"/>
                <w:color w:val="0000FF"/>
                <w:sz w:val="18"/>
                <w:szCs w:val="18"/>
              </w:rPr>
            </w:pPr>
          </w:p>
          <w:p w14:paraId="35B0AA0E" w14:textId="77777777" w:rsidR="00295648" w:rsidRPr="004D0354" w:rsidRDefault="00295648" w:rsidP="000A4BAE">
            <w:pPr>
              <w:keepLines/>
              <w:rPr>
                <w:rFonts w:cs="Arial"/>
                <w:color w:val="0000FF"/>
                <w:sz w:val="18"/>
                <w:szCs w:val="18"/>
              </w:rPr>
            </w:pPr>
          </w:p>
        </w:tc>
      </w:tr>
    </w:tbl>
    <w:p w14:paraId="4DBE0E72" w14:textId="77777777" w:rsidR="00295648" w:rsidRPr="004D0354" w:rsidRDefault="00295648" w:rsidP="001030B6">
      <w:pPr>
        <w:pStyle w:val="Heading4"/>
      </w:pPr>
      <w:r w:rsidRPr="004D0354">
        <w:t>Assessment criterion 4: Practice</w:t>
      </w:r>
    </w:p>
    <w:p w14:paraId="33B47823" w14:textId="2C980288" w:rsidR="00295648" w:rsidRPr="004D0354" w:rsidRDefault="00FF417F" w:rsidP="00295648">
      <w:pPr>
        <w:spacing w:line="276" w:lineRule="auto"/>
        <w:rPr>
          <w:rFonts w:eastAsia="Arial" w:cs="Arial"/>
          <w:szCs w:val="20"/>
        </w:rPr>
      </w:pPr>
      <w:r w:rsidRPr="004D0354">
        <w:t xml:space="preserve">In practice, parliament routinely analyses </w:t>
      </w:r>
      <w:r w:rsidRPr="004D0354">
        <w:rPr>
          <w:rFonts w:eastAsia="Arial" w:cs="Arial"/>
          <w:szCs w:val="20"/>
        </w:rPr>
        <w:t xml:space="preserve">impact assessments provided by the executive, </w:t>
      </w:r>
      <w:proofErr w:type="gramStart"/>
      <w:r w:rsidRPr="004D0354">
        <w:rPr>
          <w:rFonts w:eastAsia="Arial" w:cs="Arial"/>
          <w:szCs w:val="20"/>
        </w:rPr>
        <w:t>conducts</w:t>
      </w:r>
      <w:proofErr w:type="gramEnd"/>
      <w:r w:rsidRPr="004D0354">
        <w:rPr>
          <w:rFonts w:eastAsia="Arial" w:cs="Arial"/>
          <w:szCs w:val="20"/>
        </w:rPr>
        <w:t xml:space="preserve"> or commissions its own impact assessments, and</w:t>
      </w:r>
      <w:r w:rsidRPr="004D0354">
        <w:t xml:space="preserve"> uses the related findings and reports to inform its work</w:t>
      </w:r>
      <w:r w:rsidR="00295648" w:rsidRPr="004D0354">
        <w:t xml:space="preserve">. </w:t>
      </w:r>
    </w:p>
    <w:p w14:paraId="2D71B906" w14:textId="77777777" w:rsidR="00295648" w:rsidRPr="004D0354" w:rsidRDefault="00295648" w:rsidP="00295648">
      <w:pPr>
        <w:spacing w:line="276" w:lineRule="auto"/>
        <w:rPr>
          <w:rFonts w:eastAsia="Arial" w:cs="Arial"/>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2C46B2" w:rsidRPr="004D0354" w14:paraId="1D41E39D" w14:textId="77777777" w:rsidTr="00F145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09045F" w14:textId="77777777" w:rsidR="002C46B2" w:rsidRPr="004D0354" w:rsidRDefault="002C46B2" w:rsidP="00F145EE">
            <w:pPr>
              <w:spacing w:line="276" w:lineRule="auto"/>
              <w:jc w:val="center"/>
              <w:rPr>
                <w:rFonts w:cs="Arial"/>
                <w:szCs w:val="20"/>
              </w:rPr>
            </w:pPr>
            <w:r w:rsidRPr="004D0354">
              <w:t>Non-existent</w:t>
            </w:r>
          </w:p>
          <w:sdt>
            <w:sdtPr>
              <w:rPr>
                <w:rFonts w:eastAsia="Arimo" w:cs="Arial"/>
                <w:szCs w:val="20"/>
              </w:rPr>
              <w:id w:val="-200093869"/>
              <w14:checkbox>
                <w14:checked w14:val="0"/>
                <w14:checkedState w14:val="2612" w14:font="MS Gothic"/>
                <w14:uncheckedState w14:val="2610" w14:font="MS Gothic"/>
              </w14:checkbox>
            </w:sdtPr>
            <w:sdtEndPr/>
            <w:sdtContent>
              <w:p w14:paraId="7EF97511" w14:textId="77777777" w:rsidR="002C46B2" w:rsidRPr="004D0354" w:rsidRDefault="002C46B2" w:rsidP="00F145EE">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0D1519" w14:textId="77777777" w:rsidR="002C46B2" w:rsidRPr="004D0354" w:rsidRDefault="002C46B2" w:rsidP="00F145EE">
            <w:pPr>
              <w:spacing w:line="276" w:lineRule="auto"/>
              <w:jc w:val="center"/>
              <w:rPr>
                <w:rFonts w:cs="Arial"/>
                <w:szCs w:val="20"/>
              </w:rPr>
            </w:pPr>
            <w:r w:rsidRPr="004D0354">
              <w:t xml:space="preserve">Rudimentary </w:t>
            </w:r>
          </w:p>
          <w:sdt>
            <w:sdtPr>
              <w:rPr>
                <w:rFonts w:eastAsia="Arimo" w:cs="Arial"/>
                <w:szCs w:val="20"/>
              </w:rPr>
              <w:id w:val="138309180"/>
              <w14:checkbox>
                <w14:checked w14:val="0"/>
                <w14:checkedState w14:val="2612" w14:font="MS Gothic"/>
                <w14:uncheckedState w14:val="2610" w14:font="MS Gothic"/>
              </w14:checkbox>
            </w:sdtPr>
            <w:sdtEndPr/>
            <w:sdtContent>
              <w:p w14:paraId="67EF26BD" w14:textId="77777777" w:rsidR="002C46B2" w:rsidRPr="004D0354" w:rsidRDefault="002C46B2" w:rsidP="00F145EE">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AE0583" w14:textId="77777777" w:rsidR="002C46B2" w:rsidRPr="004D0354" w:rsidRDefault="002C46B2" w:rsidP="00F145EE">
            <w:pPr>
              <w:spacing w:line="276" w:lineRule="auto"/>
              <w:jc w:val="center"/>
              <w:rPr>
                <w:rFonts w:cs="Arial"/>
                <w:szCs w:val="20"/>
              </w:rPr>
            </w:pPr>
            <w:r w:rsidRPr="004D0354">
              <w:t>Basic</w:t>
            </w:r>
          </w:p>
          <w:sdt>
            <w:sdtPr>
              <w:rPr>
                <w:rFonts w:eastAsia="Arimo" w:cs="Arial"/>
                <w:szCs w:val="20"/>
              </w:rPr>
              <w:id w:val="1009100169"/>
              <w14:checkbox>
                <w14:checked w14:val="0"/>
                <w14:checkedState w14:val="2612" w14:font="MS Gothic"/>
                <w14:uncheckedState w14:val="2610" w14:font="MS Gothic"/>
              </w14:checkbox>
            </w:sdtPr>
            <w:sdtEndPr/>
            <w:sdtContent>
              <w:p w14:paraId="1B165F2A" w14:textId="77777777" w:rsidR="002C46B2" w:rsidRPr="004D0354" w:rsidRDefault="002C46B2" w:rsidP="00F145EE">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4D894D" w14:textId="77777777" w:rsidR="002C46B2" w:rsidRPr="004D0354" w:rsidRDefault="002C46B2" w:rsidP="00F145EE">
            <w:pPr>
              <w:spacing w:line="276" w:lineRule="auto"/>
              <w:jc w:val="center"/>
              <w:rPr>
                <w:rFonts w:cs="Arial"/>
                <w:szCs w:val="20"/>
              </w:rPr>
            </w:pPr>
            <w:r w:rsidRPr="004D0354">
              <w:t>Good</w:t>
            </w:r>
          </w:p>
          <w:sdt>
            <w:sdtPr>
              <w:rPr>
                <w:rFonts w:eastAsia="Arimo" w:cs="Arial"/>
                <w:szCs w:val="20"/>
              </w:rPr>
              <w:id w:val="-703394754"/>
              <w14:checkbox>
                <w14:checked w14:val="0"/>
                <w14:checkedState w14:val="2612" w14:font="MS Gothic"/>
                <w14:uncheckedState w14:val="2610" w14:font="MS Gothic"/>
              </w14:checkbox>
            </w:sdtPr>
            <w:sdtEndPr/>
            <w:sdtContent>
              <w:p w14:paraId="6D992DE8" w14:textId="77777777" w:rsidR="002C46B2" w:rsidRPr="004D0354" w:rsidRDefault="002C46B2" w:rsidP="00F145EE">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82FC71" w14:textId="77777777" w:rsidR="002C46B2" w:rsidRPr="004D0354" w:rsidRDefault="002C46B2" w:rsidP="00F145EE">
            <w:pPr>
              <w:spacing w:line="276" w:lineRule="auto"/>
              <w:jc w:val="center"/>
              <w:rPr>
                <w:rFonts w:cs="Arial"/>
                <w:szCs w:val="20"/>
              </w:rPr>
            </w:pPr>
            <w:r w:rsidRPr="004D0354">
              <w:t>Very good</w:t>
            </w:r>
          </w:p>
          <w:sdt>
            <w:sdtPr>
              <w:rPr>
                <w:rFonts w:eastAsia="Arimo" w:cs="Arial"/>
                <w:szCs w:val="20"/>
              </w:rPr>
              <w:id w:val="-84147175"/>
              <w14:checkbox>
                <w14:checked w14:val="0"/>
                <w14:checkedState w14:val="2612" w14:font="MS Gothic"/>
                <w14:uncheckedState w14:val="2610" w14:font="MS Gothic"/>
              </w14:checkbox>
            </w:sdtPr>
            <w:sdtEndPr/>
            <w:sdtContent>
              <w:p w14:paraId="441B48E7" w14:textId="77777777" w:rsidR="002C46B2" w:rsidRPr="004D0354" w:rsidRDefault="002C46B2" w:rsidP="00F145EE">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5C89531" w14:textId="77777777" w:rsidR="002C46B2" w:rsidRPr="004D0354" w:rsidRDefault="002C46B2" w:rsidP="00F145EE">
            <w:pPr>
              <w:spacing w:line="276" w:lineRule="auto"/>
              <w:jc w:val="center"/>
              <w:rPr>
                <w:rFonts w:cs="Arial"/>
                <w:szCs w:val="20"/>
              </w:rPr>
            </w:pPr>
            <w:r w:rsidRPr="004D0354">
              <w:t>Excellent</w:t>
            </w:r>
          </w:p>
          <w:sdt>
            <w:sdtPr>
              <w:rPr>
                <w:rFonts w:eastAsia="Arimo" w:cs="Arial"/>
                <w:szCs w:val="20"/>
              </w:rPr>
              <w:id w:val="1925906383"/>
              <w14:checkbox>
                <w14:checked w14:val="0"/>
                <w14:checkedState w14:val="2612" w14:font="MS Gothic"/>
                <w14:uncheckedState w14:val="2610" w14:font="MS Gothic"/>
              </w14:checkbox>
            </w:sdtPr>
            <w:sdtEndPr/>
            <w:sdtContent>
              <w:p w14:paraId="5B105962" w14:textId="77777777" w:rsidR="002C46B2" w:rsidRPr="004D0354" w:rsidRDefault="002C46B2" w:rsidP="00F145EE">
                <w:pPr>
                  <w:spacing w:line="276" w:lineRule="auto"/>
                  <w:jc w:val="center"/>
                  <w:rPr>
                    <w:rFonts w:cs="Arial"/>
                    <w:szCs w:val="20"/>
                  </w:rPr>
                </w:pPr>
                <w:r w:rsidRPr="004D0354">
                  <w:rPr>
                    <w:rFonts w:ascii="MS Gothic" w:eastAsia="MS Gothic" w:hAnsi="MS Gothic" w:cs="Arial"/>
                    <w:szCs w:val="20"/>
                  </w:rPr>
                  <w:t>☐</w:t>
                </w:r>
              </w:p>
            </w:sdtContent>
          </w:sdt>
        </w:tc>
      </w:tr>
      <w:tr w:rsidR="002C46B2" w:rsidRPr="004D0354" w14:paraId="6B946C69" w14:textId="77777777" w:rsidTr="00F145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5BDCE" w14:textId="77777777" w:rsidR="002C46B2" w:rsidRPr="004D0354" w:rsidRDefault="002C46B2" w:rsidP="00F145EE">
            <w:pPr>
              <w:spacing w:line="276" w:lineRule="auto"/>
              <w:rPr>
                <w:rFonts w:cs="Arial"/>
                <w:color w:val="005F9A"/>
                <w:szCs w:val="20"/>
              </w:rPr>
            </w:pPr>
            <w:r w:rsidRPr="004D0354">
              <w:rPr>
                <w:color w:val="005F9A"/>
              </w:rPr>
              <w:t>Evidence for this assessment criterion:</w:t>
            </w:r>
          </w:p>
          <w:p w14:paraId="540F2B0D" w14:textId="77777777" w:rsidR="002C46B2" w:rsidRPr="004D0354" w:rsidRDefault="002C46B2" w:rsidP="00F145EE">
            <w:pPr>
              <w:spacing w:line="276" w:lineRule="auto"/>
              <w:rPr>
                <w:rFonts w:cs="Arial"/>
                <w:color w:val="0000FF"/>
                <w:sz w:val="18"/>
                <w:szCs w:val="18"/>
              </w:rPr>
            </w:pPr>
          </w:p>
          <w:p w14:paraId="64F379CC" w14:textId="77777777" w:rsidR="002C46B2" w:rsidRPr="004D0354" w:rsidRDefault="002C46B2" w:rsidP="00F145EE">
            <w:pPr>
              <w:spacing w:line="276" w:lineRule="auto"/>
              <w:rPr>
                <w:rFonts w:cs="Arial"/>
                <w:color w:val="0000FF"/>
                <w:sz w:val="18"/>
                <w:szCs w:val="18"/>
              </w:rPr>
            </w:pPr>
          </w:p>
        </w:tc>
      </w:tr>
    </w:tbl>
    <w:p w14:paraId="3A1198B5" w14:textId="035CF12F" w:rsidR="000F1C24" w:rsidRPr="004D0354" w:rsidRDefault="00C06467" w:rsidP="00677367">
      <w:pPr>
        <w:pStyle w:val="section-title"/>
      </w:pPr>
      <w:r w:rsidRPr="004D0354">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8780"/>
      </w:tblGrid>
      <w:tr w:rsidR="00C06467" w:rsidRPr="004D0354" w14:paraId="188D0430" w14:textId="77777777" w:rsidTr="00F145EE">
        <w:trPr>
          <w:trHeight w:hRule="exact" w:val="1440"/>
        </w:trPr>
        <w:tc>
          <w:tcPr>
            <w:tcW w:w="5000" w:type="pct"/>
          </w:tcPr>
          <w:p w14:paraId="64B5410A" w14:textId="08258E90" w:rsidR="00C06467" w:rsidRPr="004D0354" w:rsidRDefault="007D26BB" w:rsidP="007D26BB">
            <w:pPr>
              <w:rPr>
                <w:i/>
                <w:szCs w:val="20"/>
              </w:rPr>
            </w:pPr>
            <w:r w:rsidRPr="004D0354">
              <w:rPr>
                <w:i/>
                <w:shd w:val="clear" w:color="auto" w:fill="FFFFFF"/>
              </w:rPr>
              <w:t>Use this space to note down recommendations and ideas for strengthening rules and practice in this area.</w:t>
            </w:r>
          </w:p>
        </w:tc>
      </w:tr>
    </w:tbl>
    <w:p w14:paraId="42C8E8B8" w14:textId="23DAE821" w:rsidR="002C46B2" w:rsidRPr="004D0354" w:rsidRDefault="007E5D1E" w:rsidP="00677367">
      <w:pPr>
        <w:pStyle w:val="section-title"/>
        <w:rPr>
          <w:sz w:val="20"/>
        </w:rPr>
      </w:pPr>
      <w:r w:rsidRPr="004D0354">
        <w:t xml:space="preserve">Sources </w:t>
      </w:r>
      <w:r w:rsidR="009A142C" w:rsidRPr="004D0354">
        <w:t xml:space="preserve">and </w:t>
      </w:r>
      <w:r w:rsidRPr="004D0354">
        <w:t>further reading</w:t>
      </w:r>
    </w:p>
    <w:p w14:paraId="7661860E" w14:textId="68153A11" w:rsidR="00295648" w:rsidRPr="004D0354" w:rsidRDefault="00295648" w:rsidP="00C06467">
      <w:pPr>
        <w:numPr>
          <w:ilvl w:val="0"/>
          <w:numId w:val="17"/>
        </w:numPr>
        <w:pBdr>
          <w:top w:val="nil"/>
          <w:left w:val="nil"/>
          <w:bottom w:val="nil"/>
          <w:right w:val="nil"/>
          <w:between w:val="nil"/>
        </w:pBdr>
        <w:ind w:left="562" w:hanging="562"/>
        <w:rPr>
          <w:rFonts w:eastAsia="Arial" w:cs="Arial"/>
          <w:color w:val="000000"/>
          <w:szCs w:val="20"/>
        </w:rPr>
      </w:pPr>
      <w:bookmarkStart w:id="7" w:name="_Hlk147308243"/>
      <w:r w:rsidRPr="004D0354">
        <w:rPr>
          <w:color w:val="000000"/>
        </w:rPr>
        <w:t xml:space="preserve">Patricia </w:t>
      </w:r>
      <w:proofErr w:type="spellStart"/>
      <w:r w:rsidRPr="004D0354">
        <w:rPr>
          <w:color w:val="000000"/>
        </w:rPr>
        <w:t>Popelier</w:t>
      </w:r>
      <w:proofErr w:type="spellEnd"/>
      <w:r w:rsidR="00115D90" w:rsidRPr="004D0354">
        <w:rPr>
          <w:color w:val="000000"/>
        </w:rPr>
        <w:t>,</w:t>
      </w:r>
      <w:r w:rsidR="00984A0B" w:rsidRPr="004D0354">
        <w:rPr>
          <w:color w:val="000000"/>
        </w:rPr>
        <w:t xml:space="preserve"> </w:t>
      </w:r>
      <w:hyperlink r:id="rId18">
        <w:r w:rsidR="00984A0B" w:rsidRPr="004D0354">
          <w:rPr>
            <w:i/>
            <w:color w:val="0563C1"/>
            <w:u w:val="single"/>
          </w:rPr>
          <w:t>A legal perspective on Regulatory Impact Assessments</w:t>
        </w:r>
      </w:hyperlink>
      <w:r w:rsidR="00984A0B" w:rsidRPr="004D0354">
        <w:rPr>
          <w:color w:val="000000"/>
        </w:rPr>
        <w:t xml:space="preserve"> (2017)</w:t>
      </w:r>
      <w:r w:rsidR="00115D90" w:rsidRPr="004D0354">
        <w:rPr>
          <w:color w:val="000000"/>
        </w:rPr>
        <w:t>.</w:t>
      </w:r>
    </w:p>
    <w:p w14:paraId="1660AB1E" w14:textId="11618CC6" w:rsidR="00295648" w:rsidRPr="004D0354" w:rsidRDefault="00295648" w:rsidP="00C06467">
      <w:pPr>
        <w:numPr>
          <w:ilvl w:val="0"/>
          <w:numId w:val="17"/>
        </w:numPr>
        <w:pBdr>
          <w:top w:val="nil"/>
          <w:left w:val="nil"/>
          <w:bottom w:val="nil"/>
          <w:right w:val="nil"/>
          <w:between w:val="nil"/>
        </w:pBdr>
        <w:ind w:left="562" w:hanging="562"/>
        <w:rPr>
          <w:rFonts w:eastAsia="Arial" w:cs="Arial"/>
          <w:color w:val="000000"/>
          <w:szCs w:val="20"/>
        </w:rPr>
      </w:pPr>
      <w:r w:rsidRPr="004D0354">
        <w:rPr>
          <w:color w:val="000000"/>
        </w:rPr>
        <w:t>Irish Vocational Education Association</w:t>
      </w:r>
      <w:r w:rsidR="00115D90" w:rsidRPr="004D0354">
        <w:rPr>
          <w:color w:val="000000"/>
        </w:rPr>
        <w:t xml:space="preserve"> (IVEA) and The Equality Authority</w:t>
      </w:r>
      <w:r w:rsidRPr="004D0354">
        <w:rPr>
          <w:color w:val="000000"/>
        </w:rPr>
        <w:t xml:space="preserve">, </w:t>
      </w:r>
      <w:hyperlink r:id="rId19">
        <w:r w:rsidRPr="004D0354">
          <w:rPr>
            <w:i/>
            <w:color w:val="0563C1"/>
            <w:u w:val="single"/>
          </w:rPr>
          <w:t>Guidelines for conducting equality impact assessments on IVEA and VEC plans, policies and programmes</w:t>
        </w:r>
      </w:hyperlink>
      <w:r w:rsidRPr="004D0354">
        <w:rPr>
          <w:color w:val="000000"/>
        </w:rPr>
        <w:t xml:space="preserve"> (2007).</w:t>
      </w:r>
    </w:p>
    <w:p w14:paraId="15916442" w14:textId="77777777" w:rsidR="00295648" w:rsidRPr="004D0354" w:rsidRDefault="00295648" w:rsidP="00295648">
      <w:pPr>
        <w:spacing w:line="276" w:lineRule="auto"/>
        <w:rPr>
          <w:rFonts w:eastAsia="Arial" w:cs="Arial"/>
          <w:color w:val="000000"/>
          <w:szCs w:val="20"/>
          <w:lang w:eastAsia="en-GB"/>
        </w:rPr>
      </w:pPr>
    </w:p>
    <w:bookmarkEnd w:id="7"/>
    <w:p w14:paraId="05C000F6" w14:textId="77777777" w:rsidR="00295648" w:rsidRPr="004D0354" w:rsidRDefault="00295648" w:rsidP="00295648">
      <w:pPr>
        <w:spacing w:line="276" w:lineRule="auto"/>
        <w:rPr>
          <w:rFonts w:eastAsia="Arial" w:cs="Arial"/>
          <w:color w:val="000000"/>
          <w:szCs w:val="20"/>
          <w:lang w:eastAsia="en-GB"/>
        </w:rPr>
      </w:pPr>
    </w:p>
    <w:p w14:paraId="31F18DB2" w14:textId="77777777" w:rsidR="00295648" w:rsidRPr="004D0354" w:rsidRDefault="00295648" w:rsidP="00295648">
      <w:pPr>
        <w:spacing w:line="276" w:lineRule="auto"/>
        <w:rPr>
          <w:rFonts w:eastAsia="Arial" w:cs="Arial"/>
          <w:color w:val="000000"/>
          <w:szCs w:val="20"/>
          <w:lang w:eastAsia="en-GB"/>
        </w:rPr>
      </w:pPr>
    </w:p>
    <w:p w14:paraId="1AD5C593" w14:textId="77777777" w:rsidR="00295648" w:rsidRPr="004D0354" w:rsidRDefault="00295648" w:rsidP="00295648">
      <w:pPr>
        <w:spacing w:line="276" w:lineRule="auto"/>
        <w:rPr>
          <w:rFonts w:eastAsia="Arial" w:cs="Arial"/>
          <w:color w:val="000000"/>
          <w:szCs w:val="20"/>
          <w:lang w:eastAsia="en-GB"/>
        </w:rPr>
      </w:pPr>
    </w:p>
    <w:p w14:paraId="16095F10" w14:textId="77777777" w:rsidR="00295648" w:rsidRPr="004D0354" w:rsidRDefault="00295648" w:rsidP="00295648">
      <w:pPr>
        <w:spacing w:line="276" w:lineRule="auto"/>
        <w:rPr>
          <w:rFonts w:eastAsia="Arial" w:cs="Arial"/>
          <w:color w:val="000000"/>
          <w:szCs w:val="20"/>
          <w:lang w:eastAsia="en-GB"/>
        </w:rPr>
      </w:pPr>
    </w:p>
    <w:p w14:paraId="4EDC91D8" w14:textId="77777777" w:rsidR="00575CC0" w:rsidRDefault="00575CC0">
      <w:pPr>
        <w:rPr>
          <w:rFonts w:eastAsia="Arial" w:cs="Arial"/>
          <w:color w:val="000000"/>
          <w:szCs w:val="20"/>
          <w:lang w:eastAsia="en-GB"/>
        </w:rPr>
      </w:pPr>
      <w:r>
        <w:rPr>
          <w:b/>
          <w:color w:val="000000"/>
          <w:szCs w:val="20"/>
          <w:lang w:eastAsia="en-GB"/>
        </w:rPr>
        <w:br w:type="page"/>
      </w:r>
    </w:p>
    <w:p w14:paraId="5F601903" w14:textId="3C777BFE" w:rsidR="00295648" w:rsidRPr="004D0354" w:rsidRDefault="007E5D1E" w:rsidP="002B4148">
      <w:pPr>
        <w:pStyle w:val="Heading3"/>
      </w:pPr>
      <w:r w:rsidRPr="004D0354">
        <w:lastRenderedPageBreak/>
        <w:t>Dimension 5.1.3: Gender mainstreaming</w:t>
      </w:r>
    </w:p>
    <w:tbl>
      <w:tblPr>
        <w:tblStyle w:val="TableGrid"/>
        <w:tblW w:w="0" w:type="auto"/>
        <w:shd w:val="clear" w:color="auto" w:fill="EEEEEE"/>
        <w:tblLook w:val="04A0" w:firstRow="1" w:lastRow="0" w:firstColumn="1" w:lastColumn="0" w:noHBand="0" w:noVBand="1"/>
      </w:tblPr>
      <w:tblGrid>
        <w:gridCol w:w="8780"/>
      </w:tblGrid>
      <w:tr w:rsidR="00D90297" w:rsidRPr="004D0354" w14:paraId="672ABBCA" w14:textId="77777777" w:rsidTr="00D90297">
        <w:tc>
          <w:tcPr>
            <w:tcW w:w="9350" w:type="dxa"/>
            <w:shd w:val="clear" w:color="auto" w:fill="EEEEEE"/>
          </w:tcPr>
          <w:p w14:paraId="7B766C99" w14:textId="66623F4D" w:rsidR="00D90297" w:rsidRPr="004D0354" w:rsidRDefault="00D90297" w:rsidP="00D90297">
            <w:pPr>
              <w:rPr>
                <w:rFonts w:eastAsia="Arial" w:cs="Arial"/>
                <w:szCs w:val="20"/>
              </w:rPr>
            </w:pPr>
            <w:r w:rsidRPr="004D0354">
              <w:t>This dimension is part of:</w:t>
            </w:r>
          </w:p>
          <w:p w14:paraId="3BE34D2D" w14:textId="77777777" w:rsidR="00677367" w:rsidRPr="004D0354" w:rsidRDefault="00677367" w:rsidP="00FC3A37">
            <w:pPr>
              <w:pStyle w:val="ListParagraph"/>
            </w:pPr>
            <w:r w:rsidRPr="004D0354">
              <w:t>Indicator 5.1: Inclusive law-making, oversight and budgeting</w:t>
            </w:r>
            <w:r w:rsidRPr="004D0354" w:rsidDel="0055364C">
              <w:t xml:space="preserve"> </w:t>
            </w:r>
          </w:p>
          <w:p w14:paraId="5566E34C" w14:textId="4762EB6C" w:rsidR="00D90297" w:rsidRPr="004D0354" w:rsidRDefault="0055364C" w:rsidP="00FC3A37">
            <w:pPr>
              <w:pStyle w:val="ListParagraph"/>
              <w:rPr>
                <w:sz w:val="24"/>
                <w:szCs w:val="20"/>
              </w:rPr>
            </w:pPr>
            <w:r w:rsidRPr="004D0354">
              <w:t>T</w:t>
            </w:r>
            <w:r w:rsidR="00D90297" w:rsidRPr="004D0354">
              <w:t>arget 5: Inclusive parliament</w:t>
            </w:r>
          </w:p>
        </w:tc>
      </w:tr>
    </w:tbl>
    <w:p w14:paraId="006ECB32" w14:textId="74D3878A" w:rsidR="00295648" w:rsidRPr="004D0354" w:rsidRDefault="00295648" w:rsidP="00677367">
      <w:pPr>
        <w:pStyle w:val="section-title"/>
      </w:pPr>
      <w:r w:rsidRPr="004D0354">
        <w:t>About this dimension</w:t>
      </w:r>
    </w:p>
    <w:p w14:paraId="33EAF5F2" w14:textId="1E7DABB2" w:rsidR="009866A7" w:rsidRPr="004D0354" w:rsidRDefault="00295648" w:rsidP="00C06467">
      <w:pPr>
        <w:rPr>
          <w:color w:val="000000"/>
        </w:rPr>
      </w:pPr>
      <w:r w:rsidRPr="004D0354">
        <w:t xml:space="preserve">This dimension </w:t>
      </w:r>
      <w:r w:rsidR="00C62278" w:rsidRPr="004D0354">
        <w:t xml:space="preserve">concerns the </w:t>
      </w:r>
      <w:r w:rsidRPr="004D0354">
        <w:t xml:space="preserve">mechanisms </w:t>
      </w:r>
      <w:r w:rsidR="00C62278" w:rsidRPr="004D0354">
        <w:t>by which</w:t>
      </w:r>
      <w:r w:rsidRPr="004D0354">
        <w:t xml:space="preserve"> </w:t>
      </w:r>
      <w:r w:rsidR="00C62278" w:rsidRPr="004D0354">
        <w:t>gender concerns are</w:t>
      </w:r>
      <w:r w:rsidRPr="004D0354">
        <w:rPr>
          <w:color w:val="000000"/>
        </w:rPr>
        <w:t xml:space="preserve"> mainstream</w:t>
      </w:r>
      <w:r w:rsidR="00C62278" w:rsidRPr="004D0354">
        <w:rPr>
          <w:color w:val="000000"/>
        </w:rPr>
        <w:t>ed</w:t>
      </w:r>
      <w:r w:rsidRPr="004D0354">
        <w:rPr>
          <w:color w:val="000000"/>
        </w:rPr>
        <w:t xml:space="preserve"> across </w:t>
      </w:r>
      <w:r w:rsidRPr="004D0354">
        <w:t xml:space="preserve">parliamentary </w:t>
      </w:r>
      <w:r w:rsidRPr="004D0354">
        <w:rPr>
          <w:color w:val="000000"/>
        </w:rPr>
        <w:t xml:space="preserve">processes and outputs, with the aim of </w:t>
      </w:r>
      <w:r w:rsidR="009866A7" w:rsidRPr="004D0354">
        <w:rPr>
          <w:color w:val="000000"/>
        </w:rPr>
        <w:t xml:space="preserve">achieving gender equality and </w:t>
      </w:r>
      <w:r w:rsidRPr="004D0354">
        <w:rPr>
          <w:color w:val="000000"/>
        </w:rPr>
        <w:t xml:space="preserve">preventing </w:t>
      </w:r>
      <w:r w:rsidR="009866A7" w:rsidRPr="004D0354">
        <w:rPr>
          <w:color w:val="000000"/>
        </w:rPr>
        <w:t xml:space="preserve">discrimination </w:t>
      </w:r>
      <w:proofErr w:type="gramStart"/>
      <w:r w:rsidR="009866A7" w:rsidRPr="004D0354">
        <w:rPr>
          <w:color w:val="000000"/>
        </w:rPr>
        <w:t>on the basis of</w:t>
      </w:r>
      <w:proofErr w:type="gramEnd"/>
      <w:r w:rsidR="009866A7" w:rsidRPr="004D0354">
        <w:rPr>
          <w:color w:val="000000"/>
        </w:rPr>
        <w:t xml:space="preserve"> gender. </w:t>
      </w:r>
    </w:p>
    <w:p w14:paraId="76F7CBFA" w14:textId="77777777" w:rsidR="00C62278" w:rsidRPr="004D0354" w:rsidRDefault="00C62278" w:rsidP="00C62278">
      <w:pPr>
        <w:rPr>
          <w:color w:val="000000"/>
        </w:rPr>
      </w:pPr>
    </w:p>
    <w:p w14:paraId="3D9AEA72" w14:textId="7D93A4F3" w:rsidR="009866A7" w:rsidRPr="004D0354" w:rsidRDefault="00C62278" w:rsidP="009866A7">
      <w:pPr>
        <w:rPr>
          <w:color w:val="000000"/>
        </w:rPr>
      </w:pPr>
      <w:r w:rsidRPr="004D0354">
        <w:rPr>
          <w:color w:val="000000"/>
        </w:rPr>
        <w:t>MPs</w:t>
      </w:r>
      <w:r w:rsidR="00295648" w:rsidRPr="004D0354">
        <w:rPr>
          <w:color w:val="000000"/>
        </w:rPr>
        <w:t xml:space="preserve"> </w:t>
      </w:r>
      <w:r w:rsidR="00295648" w:rsidRPr="004D0354">
        <w:t xml:space="preserve">have a duty and </w:t>
      </w:r>
      <w:r w:rsidR="00295648" w:rsidRPr="004D0354">
        <w:rPr>
          <w:color w:val="000000"/>
        </w:rPr>
        <w:t xml:space="preserve">power to ensure that </w:t>
      </w:r>
      <w:r w:rsidRPr="004D0354">
        <w:rPr>
          <w:color w:val="000000"/>
        </w:rPr>
        <w:t xml:space="preserve">the </w:t>
      </w:r>
      <w:r w:rsidR="00295648" w:rsidRPr="004D0354">
        <w:rPr>
          <w:color w:val="000000"/>
        </w:rPr>
        <w:t xml:space="preserve">national legal framework </w:t>
      </w:r>
      <w:r w:rsidRPr="004D0354">
        <w:rPr>
          <w:color w:val="000000"/>
        </w:rPr>
        <w:t>is</w:t>
      </w:r>
      <w:r w:rsidR="00295648" w:rsidRPr="004D0354">
        <w:rPr>
          <w:color w:val="000000"/>
        </w:rPr>
        <w:t xml:space="preserve"> consistent with international agreements on gender equality</w:t>
      </w:r>
      <w:r w:rsidR="005B5F1F" w:rsidRPr="004D0354">
        <w:rPr>
          <w:color w:val="000000"/>
        </w:rPr>
        <w:t xml:space="preserve">, notably the Convention </w:t>
      </w:r>
      <w:r w:rsidR="005B5F1F" w:rsidRPr="004D0354">
        <w:t>on the Elimination of Discrimination against Women</w:t>
      </w:r>
      <w:r w:rsidR="004E124B" w:rsidRPr="004D0354">
        <w:t xml:space="preserve"> (CEDAW)</w:t>
      </w:r>
      <w:r w:rsidR="009866A7" w:rsidRPr="004D0354">
        <w:rPr>
          <w:color w:val="000000"/>
        </w:rPr>
        <w:t xml:space="preserve">. </w:t>
      </w:r>
      <w:r w:rsidR="009866A7" w:rsidRPr="004D0354">
        <w:t>They also have a responsibility to hold the executive to account</w:t>
      </w:r>
      <w:r w:rsidR="009866A7" w:rsidRPr="004D0354">
        <w:rPr>
          <w:color w:val="000000"/>
        </w:rPr>
        <w:t xml:space="preserve"> for progress in gender mainstreaming across all policy sectors. All MPs </w:t>
      </w:r>
      <w:r w:rsidR="001030B6" w:rsidRPr="004D0354">
        <w:rPr>
          <w:color w:val="000000"/>
        </w:rPr>
        <w:t>–</w:t>
      </w:r>
      <w:r w:rsidR="009866A7" w:rsidRPr="004D0354">
        <w:rPr>
          <w:color w:val="000000"/>
        </w:rPr>
        <w:t xml:space="preserve"> men and women </w:t>
      </w:r>
      <w:r w:rsidR="001030B6" w:rsidRPr="004D0354">
        <w:rPr>
          <w:color w:val="000000"/>
        </w:rPr>
        <w:t>–</w:t>
      </w:r>
      <w:r w:rsidR="009866A7" w:rsidRPr="004D0354">
        <w:rPr>
          <w:color w:val="000000"/>
        </w:rPr>
        <w:t xml:space="preserve"> should have the understanding, </w:t>
      </w:r>
      <w:proofErr w:type="gramStart"/>
      <w:r w:rsidR="009866A7" w:rsidRPr="004D0354">
        <w:rPr>
          <w:color w:val="000000"/>
        </w:rPr>
        <w:t>skills</w:t>
      </w:r>
      <w:proofErr w:type="gramEnd"/>
      <w:r w:rsidR="009866A7" w:rsidRPr="004D0354">
        <w:rPr>
          <w:color w:val="000000"/>
        </w:rPr>
        <w:t xml:space="preserve"> and information necessary to use parliamentary mechanisms effectively to address gender equality issues.</w:t>
      </w:r>
    </w:p>
    <w:p w14:paraId="111EE432" w14:textId="7B20E7C5" w:rsidR="009866A7" w:rsidRPr="004D0354" w:rsidRDefault="009866A7" w:rsidP="00C62278">
      <w:pPr>
        <w:rPr>
          <w:color w:val="000000"/>
        </w:rPr>
      </w:pPr>
    </w:p>
    <w:p w14:paraId="2861EEFA" w14:textId="04319F67" w:rsidR="009866A7" w:rsidRPr="004D0354" w:rsidRDefault="009866A7" w:rsidP="00C62278">
      <w:pPr>
        <w:rPr>
          <w:color w:val="000000"/>
        </w:rPr>
      </w:pPr>
      <w:r w:rsidRPr="004D0354">
        <w:rPr>
          <w:color w:val="000000"/>
        </w:rPr>
        <w:t>Many parliaments have established a gender equality committee or other dedicated body</w:t>
      </w:r>
      <w:r w:rsidR="001620AD" w:rsidRPr="004D0354">
        <w:rPr>
          <w:color w:val="000000"/>
        </w:rPr>
        <w:t xml:space="preserve"> to review legislation from a gender perspective</w:t>
      </w:r>
      <w:r w:rsidRPr="004D0354">
        <w:rPr>
          <w:color w:val="000000"/>
        </w:rPr>
        <w:t xml:space="preserve">. </w:t>
      </w:r>
      <w:r w:rsidR="001620AD" w:rsidRPr="004D0354">
        <w:rPr>
          <w:color w:val="000000"/>
        </w:rPr>
        <w:t>Notwithstanding, g</w:t>
      </w:r>
      <w:r w:rsidRPr="004D0354">
        <w:rPr>
          <w:color w:val="000000"/>
        </w:rPr>
        <w:t xml:space="preserve">ender mainstreaming implies that </w:t>
      </w:r>
      <w:r w:rsidRPr="004D0354">
        <w:t xml:space="preserve">responsibilities are shared across all </w:t>
      </w:r>
      <w:r w:rsidR="001620AD" w:rsidRPr="004D0354">
        <w:t xml:space="preserve">parliamentary </w:t>
      </w:r>
      <w:r w:rsidRPr="004D0354">
        <w:t>committees</w:t>
      </w:r>
      <w:r w:rsidRPr="004D0354">
        <w:rPr>
          <w:color w:val="000000"/>
        </w:rPr>
        <w:t xml:space="preserve">, as well as in </w:t>
      </w:r>
      <w:r w:rsidRPr="004D0354">
        <w:t>cross-party groups.</w:t>
      </w:r>
      <w:r w:rsidRPr="004D0354">
        <w:rPr>
          <w:color w:val="000000"/>
        </w:rPr>
        <w:t xml:space="preserve"> </w:t>
      </w:r>
      <w:r w:rsidRPr="004D0354">
        <w:t xml:space="preserve">Other mechanisms </w:t>
      </w:r>
      <w:r w:rsidR="009F1708" w:rsidRPr="004D0354">
        <w:t xml:space="preserve">for gender mainstreaming </w:t>
      </w:r>
      <w:r w:rsidRPr="004D0354">
        <w:t>include</w:t>
      </w:r>
      <w:r w:rsidRPr="004D0354">
        <w:rPr>
          <w:color w:val="000000"/>
        </w:rPr>
        <w:t xml:space="preserve"> </w:t>
      </w:r>
      <w:r w:rsidR="009F1708" w:rsidRPr="004D0354">
        <w:rPr>
          <w:color w:val="000000"/>
        </w:rPr>
        <w:t xml:space="preserve">caucuses of women parliamentarians, </w:t>
      </w:r>
      <w:r w:rsidRPr="004D0354">
        <w:rPr>
          <w:color w:val="000000"/>
        </w:rPr>
        <w:t>networks of parliamentary leaders, internal gender audits,</w:t>
      </w:r>
      <w:r w:rsidR="009F1708" w:rsidRPr="004D0354">
        <w:rPr>
          <w:color w:val="000000"/>
        </w:rPr>
        <w:t xml:space="preserve"> and</w:t>
      </w:r>
      <w:r w:rsidRPr="004D0354">
        <w:rPr>
          <w:color w:val="000000"/>
        </w:rPr>
        <w:t xml:space="preserve"> </w:t>
      </w:r>
      <w:r w:rsidR="009F1708" w:rsidRPr="004D0354">
        <w:rPr>
          <w:color w:val="000000"/>
        </w:rPr>
        <w:t xml:space="preserve">specialist </w:t>
      </w:r>
      <w:r w:rsidRPr="004D0354">
        <w:rPr>
          <w:color w:val="000000"/>
        </w:rPr>
        <w:t>research units</w:t>
      </w:r>
      <w:r w:rsidRPr="004D0354">
        <w:t>.</w:t>
      </w:r>
    </w:p>
    <w:p w14:paraId="0E91C6F2" w14:textId="77777777" w:rsidR="009866A7" w:rsidRPr="004D0354" w:rsidRDefault="009866A7" w:rsidP="00C62278">
      <w:pPr>
        <w:rPr>
          <w:color w:val="000000"/>
        </w:rPr>
      </w:pPr>
    </w:p>
    <w:p w14:paraId="6637CE49" w14:textId="56B09BB1" w:rsidR="00D527EE" w:rsidRPr="004D0354" w:rsidRDefault="001620AD" w:rsidP="004D0354">
      <w:pPr>
        <w:rPr>
          <w:color w:val="000000"/>
        </w:rPr>
      </w:pPr>
      <w:r w:rsidRPr="004D0354">
        <w:rPr>
          <w:color w:val="000000"/>
        </w:rPr>
        <w:t xml:space="preserve">A gender-sensitive parliament takes a </w:t>
      </w:r>
      <w:r w:rsidR="00295648" w:rsidRPr="004D0354">
        <w:rPr>
          <w:color w:val="000000"/>
        </w:rPr>
        <w:t xml:space="preserve">strategic approach </w:t>
      </w:r>
      <w:r w:rsidRPr="004D0354">
        <w:rPr>
          <w:color w:val="000000"/>
        </w:rPr>
        <w:t xml:space="preserve">to gender mainstreaming </w:t>
      </w:r>
      <w:r w:rsidR="00295648" w:rsidRPr="004D0354">
        <w:rPr>
          <w:color w:val="000000"/>
        </w:rPr>
        <w:t xml:space="preserve">and </w:t>
      </w:r>
      <w:r w:rsidRPr="004D0354">
        <w:rPr>
          <w:color w:val="000000"/>
        </w:rPr>
        <w:t xml:space="preserve">has </w:t>
      </w:r>
      <w:r w:rsidR="00295648" w:rsidRPr="004D0354">
        <w:rPr>
          <w:color w:val="000000"/>
        </w:rPr>
        <w:t>strong institutional capacity</w:t>
      </w:r>
      <w:r w:rsidR="005C6444" w:rsidRPr="004D0354">
        <w:rPr>
          <w:color w:val="000000"/>
        </w:rPr>
        <w:t xml:space="preserve"> </w:t>
      </w:r>
      <w:r w:rsidRPr="004D0354">
        <w:rPr>
          <w:color w:val="000000"/>
        </w:rPr>
        <w:t>to incorporate a gender perspective through</w:t>
      </w:r>
      <w:r w:rsidR="009F1708" w:rsidRPr="004D0354">
        <w:rPr>
          <w:color w:val="000000"/>
        </w:rPr>
        <w:t>out</w:t>
      </w:r>
      <w:r w:rsidRPr="004D0354">
        <w:rPr>
          <w:color w:val="000000"/>
        </w:rPr>
        <w:t xml:space="preserve"> its work. Parliament </w:t>
      </w:r>
      <w:r w:rsidR="004A340F" w:rsidRPr="004D0354">
        <w:rPr>
          <w:color w:val="000000"/>
        </w:rPr>
        <w:t xml:space="preserve">should </w:t>
      </w:r>
      <w:r w:rsidRPr="004D0354">
        <w:rPr>
          <w:color w:val="000000"/>
        </w:rPr>
        <w:t xml:space="preserve">aim to prevent gender-based discrimination in all its forms, including </w:t>
      </w:r>
      <w:proofErr w:type="gramStart"/>
      <w:r w:rsidRPr="004D0354">
        <w:rPr>
          <w:color w:val="000000"/>
        </w:rPr>
        <w:t>on the basis of</w:t>
      </w:r>
      <w:proofErr w:type="gramEnd"/>
      <w:r w:rsidRPr="004D0354">
        <w:rPr>
          <w:color w:val="000000"/>
        </w:rPr>
        <w:t xml:space="preserve"> sexual orientation and gender expression or identity. </w:t>
      </w:r>
    </w:p>
    <w:p w14:paraId="27DE4AA4" w14:textId="77777777" w:rsidR="00D527EE" w:rsidRPr="004D0354" w:rsidRDefault="00D527EE" w:rsidP="004D0354">
      <w:pPr>
        <w:rPr>
          <w:color w:val="000000"/>
        </w:rPr>
      </w:pPr>
    </w:p>
    <w:p w14:paraId="547DA9DE" w14:textId="2DE3B427" w:rsidR="005C6444" w:rsidRPr="004D0354" w:rsidRDefault="001620AD" w:rsidP="00C06467">
      <w:r w:rsidRPr="004D0354">
        <w:rPr>
          <w:color w:val="000000"/>
        </w:rPr>
        <w:t xml:space="preserve">To achieve these goals, parliament needs </w:t>
      </w:r>
      <w:r w:rsidR="009F1708" w:rsidRPr="004D0354">
        <w:rPr>
          <w:color w:val="000000"/>
        </w:rPr>
        <w:t xml:space="preserve">institutional </w:t>
      </w:r>
      <w:r w:rsidR="00295648" w:rsidRPr="004D0354">
        <w:rPr>
          <w:color w:val="000000"/>
        </w:rPr>
        <w:t xml:space="preserve">connections with a broad range of groups, including </w:t>
      </w:r>
      <w:r w:rsidR="00520BA3" w:rsidRPr="004D0354">
        <w:rPr>
          <w:color w:val="000000"/>
        </w:rPr>
        <w:t>CSOs</w:t>
      </w:r>
      <w:r w:rsidR="005C6444" w:rsidRPr="004D0354">
        <w:rPr>
          <w:color w:val="000000"/>
        </w:rPr>
        <w:t>, the</w:t>
      </w:r>
      <w:r w:rsidR="00295648" w:rsidRPr="004D0354">
        <w:rPr>
          <w:color w:val="000000"/>
        </w:rPr>
        <w:t xml:space="preserve"> private sector and academia</w:t>
      </w:r>
      <w:r w:rsidR="005C6444" w:rsidRPr="004D0354">
        <w:rPr>
          <w:color w:val="000000"/>
        </w:rPr>
        <w:t xml:space="preserve">, and </w:t>
      </w:r>
      <w:r w:rsidR="009F1708" w:rsidRPr="004D0354">
        <w:rPr>
          <w:color w:val="000000"/>
        </w:rPr>
        <w:t xml:space="preserve">an evidence-informed </w:t>
      </w:r>
      <w:r w:rsidR="005C6444" w:rsidRPr="004D0354">
        <w:rPr>
          <w:color w:val="000000"/>
        </w:rPr>
        <w:t xml:space="preserve">approach, including </w:t>
      </w:r>
      <w:r w:rsidR="009F1708" w:rsidRPr="004D0354">
        <w:rPr>
          <w:color w:val="000000"/>
        </w:rPr>
        <w:t xml:space="preserve">systematic use of </w:t>
      </w:r>
      <w:r w:rsidR="005C6444" w:rsidRPr="004D0354">
        <w:rPr>
          <w:color w:val="000000"/>
        </w:rPr>
        <w:t>gender statistics and sex-disaggregated data.</w:t>
      </w:r>
      <w:r w:rsidR="00D527EE" w:rsidRPr="004D0354">
        <w:rPr>
          <w:color w:val="000000"/>
        </w:rPr>
        <w:t xml:space="preserve"> </w:t>
      </w:r>
      <w:r w:rsidR="009F1708" w:rsidRPr="004D0354">
        <w:rPr>
          <w:color w:val="000000"/>
        </w:rPr>
        <w:t>Increasingly, g</w:t>
      </w:r>
      <w:r w:rsidR="00D527EE" w:rsidRPr="004D0354">
        <w:rPr>
          <w:color w:val="000000"/>
        </w:rPr>
        <w:t>ender-sensitive language is employed as standard in law-making and other parliamentary practices.</w:t>
      </w:r>
    </w:p>
    <w:p w14:paraId="6272FDB6" w14:textId="1A8FE859" w:rsidR="00295648" w:rsidRPr="004D0354" w:rsidRDefault="00295648" w:rsidP="00677367">
      <w:pPr>
        <w:pStyle w:val="section-title"/>
      </w:pPr>
      <w:r w:rsidRPr="004D0354">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ook w:val="0400" w:firstRow="0" w:lastRow="0" w:firstColumn="0" w:lastColumn="0" w:noHBand="0" w:noVBand="1"/>
      </w:tblPr>
      <w:tblGrid>
        <w:gridCol w:w="8780"/>
      </w:tblGrid>
      <w:tr w:rsidR="00295648" w:rsidRPr="004D0354" w14:paraId="5E92EEBB" w14:textId="77777777" w:rsidTr="000A4BAE">
        <w:trPr>
          <w:trHeight w:val="716"/>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07C0B20" w14:textId="3F998C9C" w:rsidR="00295648" w:rsidRPr="004D0354" w:rsidRDefault="00295648" w:rsidP="00C06467">
            <w:pPr>
              <w:rPr>
                <w:rFonts w:eastAsia="Arial" w:cs="Arial"/>
                <w:i/>
                <w:szCs w:val="20"/>
              </w:rPr>
            </w:pPr>
            <w:r w:rsidRPr="004D0354">
              <w:rPr>
                <w:i/>
              </w:rPr>
              <w:t xml:space="preserve">Based on a global comparative analysis, an aspiring goal for parliaments </w:t>
            </w:r>
            <w:proofErr w:type="gramStart"/>
            <w:r w:rsidRPr="004D0354">
              <w:rPr>
                <w:i/>
              </w:rPr>
              <w:t>in the area of</w:t>
            </w:r>
            <w:proofErr w:type="gramEnd"/>
            <w:r w:rsidRPr="004D0354">
              <w:rPr>
                <w:i/>
              </w:rPr>
              <w:t xml:space="preserve"> </w:t>
            </w:r>
            <w:r w:rsidR="003641C2" w:rsidRPr="004D0354">
              <w:rPr>
                <w:i/>
              </w:rPr>
              <w:t>“</w:t>
            </w:r>
            <w:r w:rsidRPr="004D0354">
              <w:rPr>
                <w:i/>
              </w:rPr>
              <w:t>gender mainstreaming</w:t>
            </w:r>
            <w:r w:rsidR="003641C2" w:rsidRPr="004D0354">
              <w:rPr>
                <w:i/>
              </w:rPr>
              <w:t>”</w:t>
            </w:r>
            <w:r w:rsidRPr="004D0354">
              <w:rPr>
                <w:i/>
              </w:rPr>
              <w:t xml:space="preserve"> is as follows:</w:t>
            </w:r>
          </w:p>
          <w:p w14:paraId="61C3CCEC" w14:textId="77777777" w:rsidR="00295648" w:rsidRPr="004D0354" w:rsidRDefault="00295648" w:rsidP="00C06467">
            <w:pPr>
              <w:rPr>
                <w:rFonts w:eastAsia="Arial" w:cs="Arial"/>
                <w:szCs w:val="20"/>
                <w:lang w:eastAsia="en-GB"/>
              </w:rPr>
            </w:pPr>
          </w:p>
          <w:p w14:paraId="3C41D6C7" w14:textId="6A85D3E1" w:rsidR="00326D5E" w:rsidRPr="004D0354" w:rsidRDefault="00326D5E" w:rsidP="00C06467">
            <w:pPr>
              <w:shd w:val="clear" w:color="auto" w:fill="F2F2F2" w:themeFill="background1" w:themeFillShade="F2"/>
              <w:rPr>
                <w:szCs w:val="20"/>
              </w:rPr>
            </w:pPr>
            <w:r w:rsidRPr="004D0354">
              <w:t xml:space="preserve">A commitment to gender mainstreaming is </w:t>
            </w:r>
            <w:r w:rsidR="00676591" w:rsidRPr="004D0354">
              <w:t xml:space="preserve">publicly </w:t>
            </w:r>
            <w:r w:rsidRPr="004D0354">
              <w:t xml:space="preserve">manifested </w:t>
            </w:r>
            <w:r w:rsidRPr="004D0354">
              <w:rPr>
                <w:szCs w:val="20"/>
              </w:rPr>
              <w:t xml:space="preserve">in parliamentary rules, strategic planning documents and practices. Parliament regularly monitors and reports on its performance on gender mainstreaming. </w:t>
            </w:r>
          </w:p>
          <w:p w14:paraId="0C95CB2D" w14:textId="77777777" w:rsidR="00326D5E" w:rsidRPr="004D0354" w:rsidRDefault="00326D5E" w:rsidP="00C06467">
            <w:pPr>
              <w:shd w:val="clear" w:color="auto" w:fill="F2F2F2" w:themeFill="background1" w:themeFillShade="F2"/>
              <w:rPr>
                <w:szCs w:val="20"/>
              </w:rPr>
            </w:pPr>
          </w:p>
          <w:p w14:paraId="0AF37A3A" w14:textId="77777777" w:rsidR="00326D5E" w:rsidRPr="004D0354" w:rsidRDefault="00326D5E" w:rsidP="00326D5E">
            <w:pPr>
              <w:shd w:val="clear" w:color="auto" w:fill="F2F2F2" w:themeFill="background1" w:themeFillShade="F2"/>
            </w:pPr>
            <w:bookmarkStart w:id="8" w:name="_Hlk145403082"/>
            <w:r w:rsidRPr="004D0354">
              <w:t xml:space="preserve">Parliament has established a </w:t>
            </w:r>
            <w:r w:rsidRPr="004D0354">
              <w:rPr>
                <w:color w:val="000000"/>
              </w:rPr>
              <w:t>gender equality committee or other dedicated body</w:t>
            </w:r>
            <w:r w:rsidRPr="004D0354">
              <w:t xml:space="preserve"> with a mandate to scrutinize legislation and oversee the executive from a gender perspective. Mechanisms exist to support the mainstreaming of a gender perspective in the work of all parliamentary committees.</w:t>
            </w:r>
          </w:p>
          <w:bookmarkEnd w:id="8"/>
          <w:p w14:paraId="3F15045A" w14:textId="77777777" w:rsidR="00326D5E" w:rsidRPr="004D0354" w:rsidRDefault="00326D5E" w:rsidP="00C06467">
            <w:pPr>
              <w:shd w:val="clear" w:color="auto" w:fill="F2F2F2" w:themeFill="background1" w:themeFillShade="F2"/>
              <w:rPr>
                <w:szCs w:val="20"/>
              </w:rPr>
            </w:pPr>
          </w:p>
          <w:p w14:paraId="7BE69200" w14:textId="284F08F0" w:rsidR="009932DD" w:rsidRPr="004D0354" w:rsidRDefault="009932DD" w:rsidP="009932DD">
            <w:pPr>
              <w:shd w:val="clear" w:color="auto" w:fill="F2F2F2" w:themeFill="background1" w:themeFillShade="F2"/>
            </w:pPr>
            <w:r w:rsidRPr="004D0354">
              <w:rPr>
                <w:color w:val="000000"/>
              </w:rPr>
              <w:t xml:space="preserve">National women’s </w:t>
            </w:r>
            <w:r w:rsidRPr="004D0354">
              <w:t>groups</w:t>
            </w:r>
            <w:r w:rsidRPr="004D0354">
              <w:rPr>
                <w:color w:val="000000"/>
              </w:rPr>
              <w:t>, gender rights advocates, CSOs, the private sector, academia and other outside sources of expertise are routinely consulted</w:t>
            </w:r>
            <w:r w:rsidRPr="004D0354" w:rsidDel="00520BA3">
              <w:t xml:space="preserve"> </w:t>
            </w:r>
            <w:r w:rsidRPr="004D0354">
              <w:t xml:space="preserve">in the work of parliament and its committees. </w:t>
            </w:r>
          </w:p>
          <w:p w14:paraId="76AD1AA0" w14:textId="77777777" w:rsidR="00126537" w:rsidRPr="004D0354" w:rsidRDefault="00126537" w:rsidP="009932DD">
            <w:pPr>
              <w:shd w:val="clear" w:color="auto" w:fill="F2F2F2" w:themeFill="background1" w:themeFillShade="F2"/>
            </w:pPr>
          </w:p>
          <w:p w14:paraId="6FE79626" w14:textId="2D9AA332" w:rsidR="00126537" w:rsidRPr="004D0354" w:rsidRDefault="00126537" w:rsidP="009932DD">
            <w:pPr>
              <w:shd w:val="clear" w:color="auto" w:fill="F2F2F2" w:themeFill="background1" w:themeFillShade="F2"/>
            </w:pPr>
            <w:r w:rsidRPr="004D0354">
              <w:rPr>
                <w:szCs w:val="20"/>
              </w:rPr>
              <w:t xml:space="preserve">Parliament participates in the preparation and presentation of </w:t>
            </w:r>
            <w:r w:rsidRPr="004D0354">
              <w:t>national reports to international bodies including the Committee on the Elimination of Discrimination against Women (CEDAW Committee)</w:t>
            </w:r>
            <w:r w:rsidR="00FD1F1A" w:rsidRPr="004D0354">
              <w:t xml:space="preserve"> </w:t>
            </w:r>
            <w:r w:rsidRPr="004D0354">
              <w:t>and holds debates on the resulting recommendations.</w:t>
            </w:r>
          </w:p>
          <w:p w14:paraId="5620CBA4" w14:textId="77777777" w:rsidR="00E87A61" w:rsidRPr="004D0354" w:rsidRDefault="00E87A61" w:rsidP="009932DD">
            <w:pPr>
              <w:shd w:val="clear" w:color="auto" w:fill="F2F2F2" w:themeFill="background1" w:themeFillShade="F2"/>
            </w:pPr>
          </w:p>
          <w:p w14:paraId="3AFEDDE2" w14:textId="72E690DA" w:rsidR="00E87A61" w:rsidRPr="004D0354" w:rsidRDefault="00E87A61" w:rsidP="00504733">
            <w:pPr>
              <w:shd w:val="clear" w:color="auto" w:fill="F2F2F2" w:themeFill="background1" w:themeFillShade="F2"/>
            </w:pPr>
            <w:r w:rsidRPr="004D0354">
              <w:t>Training on gender issues is provided for all MPs. Parliamentary research and committee staff have the capacity to provide expert analysis and briefings on gender issues, including gender statistics and sex-disaggregated data.</w:t>
            </w:r>
          </w:p>
        </w:tc>
      </w:tr>
    </w:tbl>
    <w:p w14:paraId="5AEAB3AA" w14:textId="77777777" w:rsidR="00295648" w:rsidRPr="004D0354" w:rsidRDefault="00295648" w:rsidP="00677367">
      <w:pPr>
        <w:pStyle w:val="section-title"/>
      </w:pPr>
      <w:r w:rsidRPr="004D0354">
        <w:lastRenderedPageBreak/>
        <w:t>Assessment</w:t>
      </w:r>
    </w:p>
    <w:p w14:paraId="78FB6708" w14:textId="61262DA3" w:rsidR="00295648" w:rsidRPr="004D0354" w:rsidRDefault="00295648" w:rsidP="00295648">
      <w:pPr>
        <w:spacing w:before="200" w:line="276" w:lineRule="auto"/>
        <w:rPr>
          <w:rFonts w:eastAsia="Arial" w:cs="Arial"/>
          <w:szCs w:val="20"/>
        </w:rPr>
      </w:pPr>
      <w:r w:rsidRPr="004D0354">
        <w:rPr>
          <w:color w:val="000000"/>
        </w:rPr>
        <w:t xml:space="preserve">This dimension is assessed against several criteria, each of which should be evaluated separately. For each criterion, select one of the six descriptive grades (Non-existent, Rudimentary, Basic, Good, </w:t>
      </w:r>
      <w:proofErr w:type="gramStart"/>
      <w:r w:rsidRPr="004D0354">
        <w:rPr>
          <w:color w:val="000000"/>
        </w:rPr>
        <w:t>Very</w:t>
      </w:r>
      <w:proofErr w:type="gramEnd"/>
      <w:r w:rsidRPr="004D0354">
        <w:rPr>
          <w:color w:val="000000"/>
        </w:rPr>
        <w:t xml:space="preserve"> good and Excellent) that best reflects the situation in your parliament, and provide details of the evidence on which this assessment is based.</w:t>
      </w:r>
      <w:r w:rsidRPr="004D0354">
        <w:t xml:space="preserve"> </w:t>
      </w:r>
    </w:p>
    <w:p w14:paraId="5FAC9BC9" w14:textId="10B1BC3B" w:rsidR="00295648" w:rsidRPr="004D0354" w:rsidRDefault="00295648" w:rsidP="00C06467">
      <w:pPr>
        <w:spacing w:before="200"/>
        <w:rPr>
          <w:rFonts w:eastAsia="Arial" w:cs="Arial"/>
          <w:szCs w:val="20"/>
        </w:rPr>
      </w:pPr>
      <w:r w:rsidRPr="004D0354">
        <w:t>The evidence for assessment of this dimension could include the following:</w:t>
      </w:r>
    </w:p>
    <w:p w14:paraId="1833E4B0" w14:textId="77777777" w:rsidR="00C06467" w:rsidRPr="004D0354" w:rsidRDefault="00C06467" w:rsidP="00C06467">
      <w:pPr>
        <w:rPr>
          <w:rFonts w:eastAsia="Arial" w:cs="Arial"/>
          <w:szCs w:val="20"/>
          <w:lang w:eastAsia="en-GB"/>
        </w:rPr>
      </w:pPr>
    </w:p>
    <w:p w14:paraId="7BE14DD9" w14:textId="04213635" w:rsidR="00295648" w:rsidRPr="004D0354" w:rsidRDefault="00295648" w:rsidP="00C06467">
      <w:pPr>
        <w:numPr>
          <w:ilvl w:val="0"/>
          <w:numId w:val="10"/>
        </w:numPr>
        <w:pBdr>
          <w:top w:val="nil"/>
          <w:left w:val="nil"/>
          <w:bottom w:val="nil"/>
          <w:right w:val="nil"/>
          <w:between w:val="nil"/>
        </w:pBdr>
        <w:ind w:left="562" w:hanging="562"/>
        <w:rPr>
          <w:rFonts w:eastAsia="Arial" w:cs="Arial"/>
          <w:color w:val="000000"/>
          <w:szCs w:val="20"/>
        </w:rPr>
      </w:pPr>
      <w:r w:rsidRPr="004D0354">
        <w:rPr>
          <w:color w:val="000000"/>
        </w:rPr>
        <w:t>A parliamentary strategic plan, gender equality plan, gender audit</w:t>
      </w:r>
      <w:r w:rsidR="00A7368E" w:rsidRPr="004D0354">
        <w:rPr>
          <w:color w:val="000000"/>
        </w:rPr>
        <w:t>,</w:t>
      </w:r>
      <w:r w:rsidRPr="004D0354">
        <w:rPr>
          <w:color w:val="000000"/>
        </w:rPr>
        <w:t xml:space="preserve"> or other plans </w:t>
      </w:r>
      <w:r w:rsidR="00A7368E" w:rsidRPr="004D0354">
        <w:rPr>
          <w:color w:val="000000"/>
        </w:rPr>
        <w:t>and/</w:t>
      </w:r>
      <w:r w:rsidRPr="004D0354">
        <w:rPr>
          <w:color w:val="000000"/>
        </w:rPr>
        <w:t>or policy documents</w:t>
      </w:r>
    </w:p>
    <w:p w14:paraId="0D748A40" w14:textId="6C1EA115" w:rsidR="00295648" w:rsidRPr="004D0354" w:rsidRDefault="00447DF0" w:rsidP="00C06467">
      <w:pPr>
        <w:numPr>
          <w:ilvl w:val="0"/>
          <w:numId w:val="10"/>
        </w:numPr>
        <w:pBdr>
          <w:top w:val="nil"/>
          <w:left w:val="nil"/>
          <w:bottom w:val="nil"/>
          <w:right w:val="nil"/>
          <w:between w:val="nil"/>
        </w:pBdr>
        <w:ind w:left="562" w:hanging="562"/>
        <w:rPr>
          <w:rFonts w:eastAsia="Arial" w:cs="Arial"/>
          <w:color w:val="000000"/>
          <w:szCs w:val="20"/>
        </w:rPr>
      </w:pPr>
      <w:r w:rsidRPr="004D0354">
        <w:rPr>
          <w:color w:val="000000"/>
        </w:rPr>
        <w:t xml:space="preserve">Provisions </w:t>
      </w:r>
      <w:r w:rsidR="00295648" w:rsidRPr="004D0354">
        <w:rPr>
          <w:color w:val="000000"/>
        </w:rPr>
        <w:t>of</w:t>
      </w:r>
      <w:r w:rsidRPr="004D0354">
        <w:rPr>
          <w:color w:val="000000"/>
        </w:rPr>
        <w:t xml:space="preserve"> parliament’s</w:t>
      </w:r>
      <w:r w:rsidR="00295648" w:rsidRPr="004D0354">
        <w:rPr>
          <w:color w:val="000000"/>
        </w:rPr>
        <w:t xml:space="preserve"> rules of procedure </w:t>
      </w:r>
      <w:r w:rsidR="0022090F" w:rsidRPr="004D0354">
        <w:rPr>
          <w:color w:val="000000"/>
        </w:rPr>
        <w:t xml:space="preserve">on gender mainstreaming </w:t>
      </w:r>
    </w:p>
    <w:p w14:paraId="4AE87C03" w14:textId="77777777" w:rsidR="00295648" w:rsidRPr="004D0354" w:rsidRDefault="00295648" w:rsidP="00C06467">
      <w:pPr>
        <w:numPr>
          <w:ilvl w:val="0"/>
          <w:numId w:val="10"/>
        </w:numPr>
        <w:pBdr>
          <w:top w:val="nil"/>
          <w:left w:val="nil"/>
          <w:bottom w:val="nil"/>
          <w:right w:val="nil"/>
          <w:between w:val="nil"/>
        </w:pBdr>
        <w:ind w:left="562" w:hanging="562"/>
        <w:rPr>
          <w:rFonts w:eastAsia="Arial" w:cs="Arial"/>
          <w:color w:val="000000"/>
          <w:szCs w:val="20"/>
        </w:rPr>
      </w:pPr>
      <w:r w:rsidRPr="004D0354">
        <w:rPr>
          <w:color w:val="000000"/>
        </w:rPr>
        <w:t xml:space="preserve">Terms of reference, statutes or other documents establishing a parliamentary gender equality committee, women’s caucus or other body dedicated to gender </w:t>
      </w:r>
      <w:proofErr w:type="gramStart"/>
      <w:r w:rsidRPr="004D0354">
        <w:rPr>
          <w:color w:val="000000"/>
        </w:rPr>
        <w:t>mainstreaming</w:t>
      </w:r>
      <w:proofErr w:type="gramEnd"/>
    </w:p>
    <w:p w14:paraId="384A861D" w14:textId="4FF7A990" w:rsidR="00295648" w:rsidRPr="004D0354" w:rsidRDefault="00295648" w:rsidP="00C06467">
      <w:pPr>
        <w:numPr>
          <w:ilvl w:val="0"/>
          <w:numId w:val="10"/>
        </w:numPr>
        <w:pBdr>
          <w:top w:val="nil"/>
          <w:left w:val="nil"/>
          <w:bottom w:val="nil"/>
          <w:right w:val="nil"/>
          <w:between w:val="nil"/>
        </w:pBdr>
        <w:ind w:left="562" w:hanging="562"/>
        <w:rPr>
          <w:rFonts w:eastAsia="Arial" w:cs="Arial"/>
          <w:color w:val="000000"/>
          <w:szCs w:val="20"/>
        </w:rPr>
      </w:pPr>
      <w:r w:rsidRPr="004D0354">
        <w:rPr>
          <w:color w:val="000000"/>
        </w:rPr>
        <w:t>Training material</w:t>
      </w:r>
      <w:r w:rsidR="00A057C4" w:rsidRPr="004D0354">
        <w:rPr>
          <w:color w:val="000000"/>
        </w:rPr>
        <w:t>s</w:t>
      </w:r>
      <w:r w:rsidRPr="004D0354">
        <w:rPr>
          <w:color w:val="000000"/>
        </w:rPr>
        <w:t xml:space="preserve"> for MPs and staff on gender equality</w:t>
      </w:r>
    </w:p>
    <w:p w14:paraId="30120AB8" w14:textId="77777777" w:rsidR="00295648" w:rsidRPr="004D0354" w:rsidRDefault="00295648" w:rsidP="00C06467">
      <w:pPr>
        <w:numPr>
          <w:ilvl w:val="0"/>
          <w:numId w:val="10"/>
        </w:numPr>
        <w:pBdr>
          <w:top w:val="nil"/>
          <w:left w:val="nil"/>
          <w:bottom w:val="nil"/>
          <w:right w:val="nil"/>
          <w:between w:val="nil"/>
        </w:pBdr>
        <w:ind w:left="562" w:hanging="562"/>
        <w:rPr>
          <w:rFonts w:eastAsia="Arial" w:cs="Arial"/>
          <w:color w:val="000000"/>
          <w:szCs w:val="20"/>
        </w:rPr>
      </w:pPr>
      <w:r w:rsidRPr="004D0354">
        <w:rPr>
          <w:color w:val="000000"/>
        </w:rPr>
        <w:t>Parliamentary research papers or briefings on gender-related issues</w:t>
      </w:r>
    </w:p>
    <w:p w14:paraId="3F3207F1" w14:textId="16F01C06" w:rsidR="00295648" w:rsidRPr="004D0354" w:rsidRDefault="00295648" w:rsidP="00C06467">
      <w:pPr>
        <w:numPr>
          <w:ilvl w:val="0"/>
          <w:numId w:val="10"/>
        </w:numPr>
        <w:pBdr>
          <w:top w:val="nil"/>
          <w:left w:val="nil"/>
          <w:bottom w:val="nil"/>
          <w:right w:val="nil"/>
          <w:between w:val="nil"/>
        </w:pBdr>
        <w:ind w:left="562" w:hanging="562"/>
        <w:rPr>
          <w:rFonts w:eastAsia="Arial" w:cs="Arial"/>
          <w:color w:val="000000"/>
          <w:szCs w:val="20"/>
        </w:rPr>
      </w:pPr>
      <w:r w:rsidRPr="004D0354">
        <w:rPr>
          <w:color w:val="000000"/>
        </w:rPr>
        <w:t xml:space="preserve">Laws relating to gender equality passed by parliament in the past five years </w:t>
      </w:r>
      <w:r w:rsidR="00915610" w:rsidRPr="004D0354">
        <w:rPr>
          <w:color w:val="000000"/>
        </w:rPr>
        <w:t xml:space="preserve">or </w:t>
      </w:r>
      <w:proofErr w:type="gramStart"/>
      <w:r w:rsidR="00915610" w:rsidRPr="004D0354">
        <w:rPr>
          <w:color w:val="000000"/>
        </w:rPr>
        <w:t>more</w:t>
      </w:r>
      <w:proofErr w:type="gramEnd"/>
    </w:p>
    <w:p w14:paraId="7D676CE2" w14:textId="3A9B5D10" w:rsidR="00295648" w:rsidRPr="004D0354" w:rsidRDefault="00295648" w:rsidP="00C06467">
      <w:pPr>
        <w:numPr>
          <w:ilvl w:val="0"/>
          <w:numId w:val="10"/>
        </w:numPr>
        <w:pBdr>
          <w:top w:val="nil"/>
          <w:left w:val="nil"/>
          <w:bottom w:val="nil"/>
          <w:right w:val="nil"/>
          <w:between w:val="nil"/>
        </w:pBdr>
        <w:ind w:left="562" w:hanging="562"/>
        <w:rPr>
          <w:rFonts w:eastAsia="Arial" w:cs="Arial"/>
          <w:color w:val="000000"/>
          <w:szCs w:val="20"/>
        </w:rPr>
      </w:pPr>
      <w:r w:rsidRPr="004D0354">
        <w:rPr>
          <w:color w:val="000000"/>
        </w:rPr>
        <w:t>Reports to the CEDAW</w:t>
      </w:r>
      <w:r w:rsidR="00E019CB" w:rsidRPr="004D0354">
        <w:rPr>
          <w:color w:val="000000"/>
        </w:rPr>
        <w:t xml:space="preserve"> Committee </w:t>
      </w:r>
      <w:r w:rsidRPr="004D0354">
        <w:rPr>
          <w:color w:val="000000"/>
        </w:rPr>
        <w:t xml:space="preserve">and other bodies </w:t>
      </w:r>
      <w:r w:rsidR="00E019CB" w:rsidRPr="004D0354">
        <w:rPr>
          <w:color w:val="000000"/>
        </w:rPr>
        <w:t xml:space="preserve">demonstrating </w:t>
      </w:r>
      <w:r w:rsidRPr="004D0354">
        <w:rPr>
          <w:color w:val="000000"/>
        </w:rPr>
        <w:t xml:space="preserve">parliamentary scrutiny and </w:t>
      </w:r>
      <w:proofErr w:type="gramStart"/>
      <w:r w:rsidRPr="004D0354">
        <w:rPr>
          <w:color w:val="000000"/>
        </w:rPr>
        <w:t>inputs</w:t>
      </w:r>
      <w:proofErr w:type="gramEnd"/>
    </w:p>
    <w:p w14:paraId="03C90D1F" w14:textId="77777777" w:rsidR="00295648" w:rsidRPr="004D0354" w:rsidRDefault="00295648" w:rsidP="00C06467">
      <w:pPr>
        <w:numPr>
          <w:ilvl w:val="0"/>
          <w:numId w:val="10"/>
        </w:numPr>
        <w:pBdr>
          <w:top w:val="nil"/>
          <w:left w:val="nil"/>
          <w:bottom w:val="nil"/>
          <w:right w:val="nil"/>
          <w:between w:val="nil"/>
        </w:pBdr>
        <w:ind w:left="562" w:hanging="562"/>
        <w:rPr>
          <w:rFonts w:eastAsia="Arial" w:cs="Arial"/>
          <w:color w:val="000000"/>
          <w:szCs w:val="20"/>
        </w:rPr>
      </w:pPr>
      <w:r w:rsidRPr="004D0354">
        <w:rPr>
          <w:color w:val="000000"/>
        </w:rPr>
        <w:t>Parliamentary toolkits and/or checklists for gender-sensitive analysis of legislation</w:t>
      </w:r>
    </w:p>
    <w:p w14:paraId="24ECE1A0" w14:textId="77777777" w:rsidR="00C06467" w:rsidRPr="004D0354" w:rsidRDefault="00C06467" w:rsidP="00C06467">
      <w:pPr>
        <w:pBdr>
          <w:top w:val="nil"/>
          <w:left w:val="nil"/>
          <w:bottom w:val="nil"/>
          <w:right w:val="nil"/>
          <w:between w:val="nil"/>
        </w:pBdr>
        <w:ind w:left="720"/>
        <w:rPr>
          <w:rFonts w:eastAsia="Arial" w:cs="Arial"/>
          <w:color w:val="000000"/>
          <w:szCs w:val="20"/>
          <w:lang w:eastAsia="en-GB"/>
        </w:rPr>
      </w:pPr>
    </w:p>
    <w:p w14:paraId="1CF1DD3C" w14:textId="4A4207C9" w:rsidR="00295648" w:rsidRPr="004D0354" w:rsidRDefault="00295648" w:rsidP="00C06467">
      <w:pPr>
        <w:rPr>
          <w:rFonts w:eastAsia="Arial" w:cs="Arial"/>
          <w:szCs w:val="20"/>
        </w:rPr>
      </w:pPr>
      <w:r w:rsidRPr="004D0354">
        <w:t>Where relevant, provide additional comments or examples that support the assessment.</w:t>
      </w:r>
    </w:p>
    <w:p w14:paraId="569069A3" w14:textId="62317A6A" w:rsidR="00295648" w:rsidRPr="004D0354" w:rsidRDefault="00295648" w:rsidP="001030B6">
      <w:pPr>
        <w:pStyle w:val="Heading4"/>
        <w:rPr>
          <w:rFonts w:cstheme="majorBidi"/>
        </w:rPr>
      </w:pPr>
      <w:r w:rsidRPr="004D0354">
        <w:t xml:space="preserve">Assessment criterion 1: </w:t>
      </w:r>
      <w:r w:rsidR="00D83726" w:rsidRPr="004D0354">
        <w:t>Commitment to gender mainstreaming</w:t>
      </w:r>
      <w:r w:rsidRPr="004D0354">
        <w:t xml:space="preserve"> </w:t>
      </w:r>
    </w:p>
    <w:p w14:paraId="4C217EBC" w14:textId="58B1DD7A" w:rsidR="00D83726" w:rsidRPr="004D0354" w:rsidRDefault="00D83726" w:rsidP="00EC3153">
      <w:pPr>
        <w:keepLines/>
        <w:rPr>
          <w:rFonts w:eastAsia="Arial" w:cs="Arial"/>
          <w:szCs w:val="20"/>
        </w:rPr>
      </w:pPr>
      <w:r w:rsidRPr="004D0354">
        <w:t xml:space="preserve">A commitment to gender mainstreaming is publicly manifested in parliamentary rules, strategic planning documents and practices. Parliament regularly monitors and reports on its performance on gender mainstreaming. </w:t>
      </w:r>
    </w:p>
    <w:p w14:paraId="1DD169A3" w14:textId="77777777" w:rsidR="007D26BB" w:rsidRPr="004D0354" w:rsidRDefault="007D26BB" w:rsidP="00EC3153">
      <w:pPr>
        <w:keepLines/>
        <w:rPr>
          <w:rFonts w:eastAsia="Arial" w:cs="Arial"/>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C3153" w:rsidRPr="004D0354" w14:paraId="0A700D3A"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4E2223" w14:textId="77777777" w:rsidR="00EC3153" w:rsidRPr="004D0354" w:rsidRDefault="00EC3153" w:rsidP="00EC3153">
            <w:pPr>
              <w:keepLines/>
              <w:spacing w:line="276" w:lineRule="auto"/>
              <w:jc w:val="center"/>
              <w:rPr>
                <w:rFonts w:cs="Arial"/>
                <w:szCs w:val="20"/>
              </w:rPr>
            </w:pPr>
            <w:r w:rsidRPr="004D0354">
              <w:t>Non-existent</w:t>
            </w:r>
          </w:p>
          <w:sdt>
            <w:sdtPr>
              <w:rPr>
                <w:rFonts w:eastAsia="Arimo" w:cs="Arial"/>
                <w:szCs w:val="20"/>
              </w:rPr>
              <w:id w:val="415215944"/>
              <w14:checkbox>
                <w14:checked w14:val="0"/>
                <w14:checkedState w14:val="2612" w14:font="MS Gothic"/>
                <w14:uncheckedState w14:val="2610" w14:font="MS Gothic"/>
              </w14:checkbox>
            </w:sdtPr>
            <w:sdtEndPr/>
            <w:sdtContent>
              <w:p w14:paraId="76809192" w14:textId="77777777" w:rsidR="00EC3153" w:rsidRPr="004D0354" w:rsidRDefault="00EC3153" w:rsidP="00EC3153">
                <w:pPr>
                  <w:keepLines/>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5D8DB8" w14:textId="77777777" w:rsidR="00EC3153" w:rsidRPr="004D0354" w:rsidRDefault="00EC3153" w:rsidP="00EC3153">
            <w:pPr>
              <w:keepLines/>
              <w:spacing w:line="276" w:lineRule="auto"/>
              <w:jc w:val="center"/>
              <w:rPr>
                <w:rFonts w:cs="Arial"/>
                <w:szCs w:val="20"/>
              </w:rPr>
            </w:pPr>
            <w:r w:rsidRPr="004D0354">
              <w:t xml:space="preserve">Rudimentary </w:t>
            </w:r>
          </w:p>
          <w:sdt>
            <w:sdtPr>
              <w:rPr>
                <w:rFonts w:eastAsia="Arimo" w:cs="Arial"/>
                <w:szCs w:val="20"/>
              </w:rPr>
              <w:id w:val="-2129927343"/>
              <w14:checkbox>
                <w14:checked w14:val="0"/>
                <w14:checkedState w14:val="2612" w14:font="MS Gothic"/>
                <w14:uncheckedState w14:val="2610" w14:font="MS Gothic"/>
              </w14:checkbox>
            </w:sdtPr>
            <w:sdtEndPr/>
            <w:sdtContent>
              <w:p w14:paraId="4912931A" w14:textId="77777777" w:rsidR="00EC3153" w:rsidRPr="004D0354" w:rsidRDefault="00EC3153" w:rsidP="00EC3153">
                <w:pPr>
                  <w:keepLines/>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A21C51" w14:textId="77777777" w:rsidR="00EC3153" w:rsidRPr="004D0354" w:rsidRDefault="00EC3153" w:rsidP="00EC3153">
            <w:pPr>
              <w:keepLines/>
              <w:spacing w:line="276" w:lineRule="auto"/>
              <w:jc w:val="center"/>
              <w:rPr>
                <w:rFonts w:cs="Arial"/>
                <w:szCs w:val="20"/>
              </w:rPr>
            </w:pPr>
            <w:r w:rsidRPr="004D0354">
              <w:t>Basic</w:t>
            </w:r>
          </w:p>
          <w:sdt>
            <w:sdtPr>
              <w:rPr>
                <w:rFonts w:eastAsia="Arimo" w:cs="Arial"/>
                <w:szCs w:val="20"/>
              </w:rPr>
              <w:id w:val="205079167"/>
              <w14:checkbox>
                <w14:checked w14:val="0"/>
                <w14:checkedState w14:val="2612" w14:font="MS Gothic"/>
                <w14:uncheckedState w14:val="2610" w14:font="MS Gothic"/>
              </w14:checkbox>
            </w:sdtPr>
            <w:sdtEndPr/>
            <w:sdtContent>
              <w:p w14:paraId="2E254165" w14:textId="77777777" w:rsidR="00EC3153" w:rsidRPr="004D0354" w:rsidRDefault="00EC3153" w:rsidP="00EC3153">
                <w:pPr>
                  <w:keepLines/>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4A7DBB" w14:textId="77777777" w:rsidR="00EC3153" w:rsidRPr="004D0354" w:rsidRDefault="00EC3153" w:rsidP="00EC3153">
            <w:pPr>
              <w:keepLines/>
              <w:spacing w:line="276" w:lineRule="auto"/>
              <w:jc w:val="center"/>
              <w:rPr>
                <w:rFonts w:cs="Arial"/>
                <w:szCs w:val="20"/>
              </w:rPr>
            </w:pPr>
            <w:r w:rsidRPr="004D0354">
              <w:t>Good</w:t>
            </w:r>
          </w:p>
          <w:sdt>
            <w:sdtPr>
              <w:rPr>
                <w:rFonts w:eastAsia="Arimo" w:cs="Arial"/>
                <w:szCs w:val="20"/>
              </w:rPr>
              <w:id w:val="1664820895"/>
              <w14:checkbox>
                <w14:checked w14:val="0"/>
                <w14:checkedState w14:val="2612" w14:font="MS Gothic"/>
                <w14:uncheckedState w14:val="2610" w14:font="MS Gothic"/>
              </w14:checkbox>
            </w:sdtPr>
            <w:sdtEndPr/>
            <w:sdtContent>
              <w:p w14:paraId="52C6580F" w14:textId="77777777" w:rsidR="00EC3153" w:rsidRPr="004D0354" w:rsidRDefault="00EC3153" w:rsidP="00EC3153">
                <w:pPr>
                  <w:keepLines/>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2D0B39" w14:textId="77777777" w:rsidR="00EC3153" w:rsidRPr="004D0354" w:rsidRDefault="00EC3153" w:rsidP="00EC3153">
            <w:pPr>
              <w:keepLines/>
              <w:spacing w:line="276" w:lineRule="auto"/>
              <w:jc w:val="center"/>
              <w:rPr>
                <w:rFonts w:cs="Arial"/>
                <w:szCs w:val="20"/>
              </w:rPr>
            </w:pPr>
            <w:r w:rsidRPr="004D0354">
              <w:t>Very good</w:t>
            </w:r>
          </w:p>
          <w:sdt>
            <w:sdtPr>
              <w:rPr>
                <w:rFonts w:eastAsia="Arimo" w:cs="Arial"/>
                <w:szCs w:val="20"/>
              </w:rPr>
              <w:id w:val="-263000862"/>
              <w14:checkbox>
                <w14:checked w14:val="0"/>
                <w14:checkedState w14:val="2612" w14:font="MS Gothic"/>
                <w14:uncheckedState w14:val="2610" w14:font="MS Gothic"/>
              </w14:checkbox>
            </w:sdtPr>
            <w:sdtEndPr/>
            <w:sdtContent>
              <w:p w14:paraId="41144008" w14:textId="77777777" w:rsidR="00EC3153" w:rsidRPr="004D0354" w:rsidRDefault="00EC3153" w:rsidP="00EC3153">
                <w:pPr>
                  <w:keepLines/>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0E940D5" w14:textId="77777777" w:rsidR="00EC3153" w:rsidRPr="004D0354" w:rsidRDefault="00EC3153" w:rsidP="00EC3153">
            <w:pPr>
              <w:keepLines/>
              <w:spacing w:line="276" w:lineRule="auto"/>
              <w:jc w:val="center"/>
              <w:rPr>
                <w:rFonts w:cs="Arial"/>
                <w:szCs w:val="20"/>
              </w:rPr>
            </w:pPr>
            <w:r w:rsidRPr="004D0354">
              <w:t>Excellent</w:t>
            </w:r>
          </w:p>
          <w:sdt>
            <w:sdtPr>
              <w:rPr>
                <w:rFonts w:eastAsia="Arimo" w:cs="Arial"/>
                <w:szCs w:val="20"/>
              </w:rPr>
              <w:id w:val="340360381"/>
              <w14:checkbox>
                <w14:checked w14:val="0"/>
                <w14:checkedState w14:val="2612" w14:font="MS Gothic"/>
                <w14:uncheckedState w14:val="2610" w14:font="MS Gothic"/>
              </w14:checkbox>
            </w:sdtPr>
            <w:sdtEndPr/>
            <w:sdtContent>
              <w:p w14:paraId="4F69019F" w14:textId="77777777" w:rsidR="00EC3153" w:rsidRPr="004D0354" w:rsidRDefault="00EC3153" w:rsidP="00EC3153">
                <w:pPr>
                  <w:keepLines/>
                  <w:spacing w:line="276" w:lineRule="auto"/>
                  <w:jc w:val="center"/>
                  <w:rPr>
                    <w:rFonts w:cs="Arial"/>
                    <w:szCs w:val="20"/>
                  </w:rPr>
                </w:pPr>
                <w:r w:rsidRPr="004D0354">
                  <w:rPr>
                    <w:rFonts w:ascii="MS Gothic" w:eastAsia="MS Gothic" w:hAnsi="MS Gothic" w:cs="Arial"/>
                    <w:szCs w:val="20"/>
                  </w:rPr>
                  <w:t>☐</w:t>
                </w:r>
              </w:p>
            </w:sdtContent>
          </w:sdt>
        </w:tc>
      </w:tr>
      <w:tr w:rsidR="00EC3153" w:rsidRPr="004D0354" w14:paraId="324E5E57"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82318" w14:textId="77777777" w:rsidR="00EC3153" w:rsidRPr="004D0354" w:rsidRDefault="00EC3153" w:rsidP="00EC3153">
            <w:pPr>
              <w:keepLines/>
              <w:spacing w:line="276" w:lineRule="auto"/>
              <w:rPr>
                <w:rFonts w:cs="Arial"/>
                <w:color w:val="005F9A"/>
                <w:szCs w:val="20"/>
              </w:rPr>
            </w:pPr>
            <w:r w:rsidRPr="004D0354">
              <w:rPr>
                <w:color w:val="005F9A"/>
              </w:rPr>
              <w:t>Evidence for this assessment criterion:</w:t>
            </w:r>
          </w:p>
          <w:p w14:paraId="3E270BF6" w14:textId="77777777" w:rsidR="00EC3153" w:rsidRPr="004D0354" w:rsidRDefault="00EC3153" w:rsidP="00EC3153">
            <w:pPr>
              <w:keepLines/>
              <w:spacing w:line="276" w:lineRule="auto"/>
              <w:rPr>
                <w:rFonts w:cs="Arial"/>
                <w:color w:val="0000FF"/>
                <w:sz w:val="18"/>
                <w:szCs w:val="18"/>
              </w:rPr>
            </w:pPr>
          </w:p>
          <w:p w14:paraId="7B02B7B4" w14:textId="77777777" w:rsidR="00EC3153" w:rsidRPr="004D0354" w:rsidRDefault="00EC3153" w:rsidP="00EC3153">
            <w:pPr>
              <w:keepLines/>
              <w:spacing w:line="276" w:lineRule="auto"/>
              <w:rPr>
                <w:rFonts w:cs="Arial"/>
                <w:color w:val="0000FF"/>
                <w:sz w:val="18"/>
                <w:szCs w:val="18"/>
              </w:rPr>
            </w:pPr>
          </w:p>
        </w:tc>
      </w:tr>
    </w:tbl>
    <w:p w14:paraId="7523D2C7" w14:textId="4095BE3D" w:rsidR="00295648" w:rsidRPr="004D0354" w:rsidRDefault="00295648" w:rsidP="001030B6">
      <w:pPr>
        <w:pStyle w:val="Heading4"/>
        <w:rPr>
          <w:rFonts w:cstheme="majorBidi"/>
        </w:rPr>
      </w:pPr>
      <w:r w:rsidRPr="004D0354">
        <w:t xml:space="preserve">Assessment criterion 2: </w:t>
      </w:r>
      <w:r w:rsidR="00D83726" w:rsidRPr="004D0354">
        <w:t>Law-making and oversight</w:t>
      </w:r>
      <w:r w:rsidR="00792CBA" w:rsidRPr="004D0354">
        <w:t xml:space="preserve"> </w:t>
      </w:r>
    </w:p>
    <w:p w14:paraId="6B048856" w14:textId="42BBB73B" w:rsidR="00295648" w:rsidRPr="004D0354" w:rsidRDefault="00D83726" w:rsidP="00295648">
      <w:pPr>
        <w:spacing w:line="276" w:lineRule="auto"/>
        <w:rPr>
          <w:rFonts w:eastAsia="Arial" w:cs="Arial"/>
          <w:szCs w:val="20"/>
          <w:lang w:eastAsia="en-GB"/>
        </w:rPr>
      </w:pPr>
      <w:r w:rsidRPr="004D0354">
        <w:t>Parliament has established a gender equality committee or other dedicated body with a mandate to scrutinize legislation and oversee the executive from a gender perspective. Mechanisms exist to support the mainstreaming of a gender perspective in the work of all parliamentary committees.</w:t>
      </w: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C3153" w:rsidRPr="004D0354" w14:paraId="4E165041"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7A7209" w14:textId="77777777" w:rsidR="00EC3153" w:rsidRPr="004D0354" w:rsidRDefault="00EC3153">
            <w:pPr>
              <w:spacing w:line="276" w:lineRule="auto"/>
              <w:jc w:val="center"/>
              <w:rPr>
                <w:rFonts w:cs="Arial"/>
                <w:szCs w:val="20"/>
              </w:rPr>
            </w:pPr>
            <w:r w:rsidRPr="004D0354">
              <w:t>Non-existent</w:t>
            </w:r>
          </w:p>
          <w:sdt>
            <w:sdtPr>
              <w:rPr>
                <w:rFonts w:eastAsia="Arimo" w:cs="Arial"/>
                <w:szCs w:val="20"/>
              </w:rPr>
              <w:id w:val="-1791504036"/>
              <w14:checkbox>
                <w14:checked w14:val="0"/>
                <w14:checkedState w14:val="2612" w14:font="MS Gothic"/>
                <w14:uncheckedState w14:val="2610" w14:font="MS Gothic"/>
              </w14:checkbox>
            </w:sdtPr>
            <w:sdtEndPr/>
            <w:sdtContent>
              <w:p w14:paraId="6075B070" w14:textId="77777777" w:rsidR="00EC3153" w:rsidRPr="004D0354" w:rsidRDefault="00EC3153">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FEAB7B" w14:textId="77777777" w:rsidR="00EC3153" w:rsidRPr="004D0354" w:rsidRDefault="00EC3153">
            <w:pPr>
              <w:spacing w:line="276" w:lineRule="auto"/>
              <w:jc w:val="center"/>
              <w:rPr>
                <w:rFonts w:cs="Arial"/>
                <w:szCs w:val="20"/>
              </w:rPr>
            </w:pPr>
            <w:r w:rsidRPr="004D0354">
              <w:t xml:space="preserve">Rudimentary </w:t>
            </w:r>
          </w:p>
          <w:sdt>
            <w:sdtPr>
              <w:rPr>
                <w:rFonts w:eastAsia="Arimo" w:cs="Arial"/>
                <w:szCs w:val="20"/>
              </w:rPr>
              <w:id w:val="479038513"/>
              <w14:checkbox>
                <w14:checked w14:val="0"/>
                <w14:checkedState w14:val="2612" w14:font="MS Gothic"/>
                <w14:uncheckedState w14:val="2610" w14:font="MS Gothic"/>
              </w14:checkbox>
            </w:sdtPr>
            <w:sdtEndPr/>
            <w:sdtContent>
              <w:p w14:paraId="4E054BA6" w14:textId="77777777" w:rsidR="00EC3153" w:rsidRPr="004D0354" w:rsidRDefault="00EC3153">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340176" w14:textId="77777777" w:rsidR="00EC3153" w:rsidRPr="004D0354" w:rsidRDefault="00EC3153">
            <w:pPr>
              <w:spacing w:line="276" w:lineRule="auto"/>
              <w:jc w:val="center"/>
              <w:rPr>
                <w:rFonts w:cs="Arial"/>
                <w:szCs w:val="20"/>
              </w:rPr>
            </w:pPr>
            <w:r w:rsidRPr="004D0354">
              <w:t>Basic</w:t>
            </w:r>
          </w:p>
          <w:sdt>
            <w:sdtPr>
              <w:rPr>
                <w:rFonts w:eastAsia="Arimo" w:cs="Arial"/>
                <w:szCs w:val="20"/>
              </w:rPr>
              <w:id w:val="-1897652406"/>
              <w14:checkbox>
                <w14:checked w14:val="0"/>
                <w14:checkedState w14:val="2612" w14:font="MS Gothic"/>
                <w14:uncheckedState w14:val="2610" w14:font="MS Gothic"/>
              </w14:checkbox>
            </w:sdtPr>
            <w:sdtEndPr/>
            <w:sdtContent>
              <w:p w14:paraId="3228E3C2" w14:textId="77777777" w:rsidR="00EC3153" w:rsidRPr="004D0354" w:rsidRDefault="00EC3153">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B665C9" w14:textId="77777777" w:rsidR="00EC3153" w:rsidRPr="004D0354" w:rsidRDefault="00EC3153">
            <w:pPr>
              <w:spacing w:line="276" w:lineRule="auto"/>
              <w:jc w:val="center"/>
              <w:rPr>
                <w:rFonts w:cs="Arial"/>
                <w:szCs w:val="20"/>
              </w:rPr>
            </w:pPr>
            <w:r w:rsidRPr="004D0354">
              <w:t>Good</w:t>
            </w:r>
          </w:p>
          <w:sdt>
            <w:sdtPr>
              <w:rPr>
                <w:rFonts w:eastAsia="Arimo" w:cs="Arial"/>
                <w:szCs w:val="20"/>
              </w:rPr>
              <w:id w:val="-1422250711"/>
              <w14:checkbox>
                <w14:checked w14:val="0"/>
                <w14:checkedState w14:val="2612" w14:font="MS Gothic"/>
                <w14:uncheckedState w14:val="2610" w14:font="MS Gothic"/>
              </w14:checkbox>
            </w:sdtPr>
            <w:sdtEndPr/>
            <w:sdtContent>
              <w:p w14:paraId="216BC7D5" w14:textId="77777777" w:rsidR="00EC3153" w:rsidRPr="004D0354" w:rsidRDefault="00EC3153">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DDFADD" w14:textId="77777777" w:rsidR="00EC3153" w:rsidRPr="004D0354" w:rsidRDefault="00EC3153">
            <w:pPr>
              <w:spacing w:line="276" w:lineRule="auto"/>
              <w:jc w:val="center"/>
              <w:rPr>
                <w:rFonts w:cs="Arial"/>
                <w:szCs w:val="20"/>
              </w:rPr>
            </w:pPr>
            <w:r w:rsidRPr="004D0354">
              <w:t>Very good</w:t>
            </w:r>
          </w:p>
          <w:sdt>
            <w:sdtPr>
              <w:rPr>
                <w:rFonts w:eastAsia="Arimo" w:cs="Arial"/>
                <w:szCs w:val="20"/>
              </w:rPr>
              <w:id w:val="-869532558"/>
              <w14:checkbox>
                <w14:checked w14:val="0"/>
                <w14:checkedState w14:val="2612" w14:font="MS Gothic"/>
                <w14:uncheckedState w14:val="2610" w14:font="MS Gothic"/>
              </w14:checkbox>
            </w:sdtPr>
            <w:sdtEndPr/>
            <w:sdtContent>
              <w:p w14:paraId="64EDCADF" w14:textId="77777777" w:rsidR="00EC3153" w:rsidRPr="004D0354" w:rsidRDefault="00EC3153">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18CBE02" w14:textId="77777777" w:rsidR="00EC3153" w:rsidRPr="004D0354" w:rsidRDefault="00EC3153">
            <w:pPr>
              <w:spacing w:line="276" w:lineRule="auto"/>
              <w:jc w:val="center"/>
              <w:rPr>
                <w:rFonts w:cs="Arial"/>
                <w:szCs w:val="20"/>
              </w:rPr>
            </w:pPr>
            <w:r w:rsidRPr="004D0354">
              <w:t>Excellent</w:t>
            </w:r>
          </w:p>
          <w:sdt>
            <w:sdtPr>
              <w:rPr>
                <w:rFonts w:eastAsia="Arimo" w:cs="Arial"/>
                <w:szCs w:val="20"/>
              </w:rPr>
              <w:id w:val="585120432"/>
              <w14:checkbox>
                <w14:checked w14:val="0"/>
                <w14:checkedState w14:val="2612" w14:font="MS Gothic"/>
                <w14:uncheckedState w14:val="2610" w14:font="MS Gothic"/>
              </w14:checkbox>
            </w:sdtPr>
            <w:sdtEndPr/>
            <w:sdtContent>
              <w:p w14:paraId="5F6202E7" w14:textId="77777777" w:rsidR="00EC3153" w:rsidRPr="004D0354" w:rsidRDefault="00EC3153">
                <w:pPr>
                  <w:spacing w:line="276" w:lineRule="auto"/>
                  <w:jc w:val="center"/>
                  <w:rPr>
                    <w:rFonts w:cs="Arial"/>
                    <w:szCs w:val="20"/>
                  </w:rPr>
                </w:pPr>
                <w:r w:rsidRPr="004D0354">
                  <w:rPr>
                    <w:rFonts w:ascii="MS Gothic" w:eastAsia="MS Gothic" w:hAnsi="MS Gothic" w:cs="Arial"/>
                    <w:szCs w:val="20"/>
                  </w:rPr>
                  <w:t>☐</w:t>
                </w:r>
              </w:p>
            </w:sdtContent>
          </w:sdt>
        </w:tc>
      </w:tr>
      <w:tr w:rsidR="00EC3153" w:rsidRPr="004D0354" w14:paraId="216E6344"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19C83" w14:textId="77777777" w:rsidR="00EC3153" w:rsidRPr="004D0354" w:rsidRDefault="00EC3153">
            <w:pPr>
              <w:spacing w:line="276" w:lineRule="auto"/>
              <w:rPr>
                <w:rFonts w:cs="Arial"/>
                <w:color w:val="005F9A"/>
                <w:szCs w:val="20"/>
              </w:rPr>
            </w:pPr>
            <w:r w:rsidRPr="004D0354">
              <w:rPr>
                <w:color w:val="005F9A"/>
              </w:rPr>
              <w:t>Evidence for this assessment criterion:</w:t>
            </w:r>
          </w:p>
          <w:p w14:paraId="43AE31B2" w14:textId="77777777" w:rsidR="00EC3153" w:rsidRPr="004D0354" w:rsidRDefault="00EC3153">
            <w:pPr>
              <w:spacing w:line="276" w:lineRule="auto"/>
              <w:rPr>
                <w:rFonts w:cs="Arial"/>
                <w:color w:val="0000FF"/>
                <w:sz w:val="18"/>
                <w:szCs w:val="18"/>
              </w:rPr>
            </w:pPr>
          </w:p>
          <w:p w14:paraId="0CB546EB" w14:textId="77777777" w:rsidR="00EC3153" w:rsidRPr="004D0354" w:rsidRDefault="00EC3153">
            <w:pPr>
              <w:spacing w:line="276" w:lineRule="auto"/>
              <w:rPr>
                <w:rFonts w:cs="Arial"/>
                <w:color w:val="0000FF"/>
                <w:sz w:val="18"/>
                <w:szCs w:val="18"/>
              </w:rPr>
            </w:pPr>
          </w:p>
        </w:tc>
      </w:tr>
    </w:tbl>
    <w:p w14:paraId="1507628B" w14:textId="77777777" w:rsidR="00D83726" w:rsidRPr="004D0354" w:rsidRDefault="00D83726" w:rsidP="004D0354"/>
    <w:p w14:paraId="43BDC9DB" w14:textId="64C9A3E3" w:rsidR="00295648" w:rsidRPr="004D0354" w:rsidRDefault="00295648" w:rsidP="001030B6">
      <w:pPr>
        <w:pStyle w:val="Heading4"/>
        <w:rPr>
          <w:rFonts w:cstheme="majorBidi"/>
        </w:rPr>
      </w:pPr>
      <w:r w:rsidRPr="004D0354">
        <w:t xml:space="preserve">Assessment criterion </w:t>
      </w:r>
      <w:r w:rsidR="00126537" w:rsidRPr="004D0354">
        <w:t>3</w:t>
      </w:r>
      <w:r w:rsidRPr="004D0354">
        <w:t xml:space="preserve">: </w:t>
      </w:r>
      <w:r w:rsidR="00520BA3" w:rsidRPr="004D0354">
        <w:t>Consultation</w:t>
      </w:r>
    </w:p>
    <w:p w14:paraId="62F5C108" w14:textId="5DA316ED" w:rsidR="00295648" w:rsidRPr="004D0354" w:rsidRDefault="00520BA3" w:rsidP="00EC3153">
      <w:pPr>
        <w:rPr>
          <w:rFonts w:eastAsia="Arial" w:cs="Arial"/>
          <w:szCs w:val="20"/>
        </w:rPr>
      </w:pPr>
      <w:r w:rsidRPr="004D0354">
        <w:rPr>
          <w:color w:val="000000"/>
        </w:rPr>
        <w:t xml:space="preserve">National women’s </w:t>
      </w:r>
      <w:r w:rsidRPr="004D0354">
        <w:t>groups</w:t>
      </w:r>
      <w:r w:rsidRPr="004D0354">
        <w:rPr>
          <w:color w:val="000000"/>
        </w:rPr>
        <w:t>, gender rights advocates, CSOs, the private sector, academia and other outside sources of expertise are routinely consulted</w:t>
      </w:r>
      <w:r w:rsidRPr="004D0354" w:rsidDel="00520BA3">
        <w:t xml:space="preserve"> </w:t>
      </w:r>
      <w:r w:rsidR="00295648" w:rsidRPr="004D0354">
        <w:t xml:space="preserve">in the work of parliament and its committees. </w:t>
      </w:r>
    </w:p>
    <w:p w14:paraId="08FB2E05" w14:textId="77777777" w:rsidR="00295648" w:rsidRPr="004D0354" w:rsidRDefault="00295648" w:rsidP="00295648">
      <w:pPr>
        <w:spacing w:line="276" w:lineRule="auto"/>
        <w:rPr>
          <w:rFonts w:eastAsia="Arial" w:cs="Arial"/>
          <w:color w:val="4472C4"/>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C3153" w:rsidRPr="004D0354" w14:paraId="3EA4E329"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2B01E4" w14:textId="77777777" w:rsidR="00EC3153" w:rsidRPr="004D0354" w:rsidRDefault="00EC3153">
            <w:pPr>
              <w:spacing w:line="276" w:lineRule="auto"/>
              <w:jc w:val="center"/>
              <w:rPr>
                <w:rFonts w:cs="Arial"/>
                <w:szCs w:val="20"/>
              </w:rPr>
            </w:pPr>
            <w:r w:rsidRPr="004D0354">
              <w:t>Non-existent</w:t>
            </w:r>
          </w:p>
          <w:sdt>
            <w:sdtPr>
              <w:rPr>
                <w:rFonts w:eastAsia="Arimo" w:cs="Arial"/>
                <w:szCs w:val="20"/>
              </w:rPr>
              <w:id w:val="-1848083822"/>
              <w14:checkbox>
                <w14:checked w14:val="0"/>
                <w14:checkedState w14:val="2612" w14:font="MS Gothic"/>
                <w14:uncheckedState w14:val="2610" w14:font="MS Gothic"/>
              </w14:checkbox>
            </w:sdtPr>
            <w:sdtEndPr/>
            <w:sdtContent>
              <w:p w14:paraId="36F443B2" w14:textId="77777777" w:rsidR="00EC3153" w:rsidRPr="004D0354" w:rsidRDefault="00EC3153">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D5E286" w14:textId="77777777" w:rsidR="00EC3153" w:rsidRPr="004D0354" w:rsidRDefault="00EC3153">
            <w:pPr>
              <w:spacing w:line="276" w:lineRule="auto"/>
              <w:jc w:val="center"/>
              <w:rPr>
                <w:rFonts w:cs="Arial"/>
                <w:szCs w:val="20"/>
              </w:rPr>
            </w:pPr>
            <w:r w:rsidRPr="004D0354">
              <w:t xml:space="preserve">Rudimentary </w:t>
            </w:r>
          </w:p>
          <w:sdt>
            <w:sdtPr>
              <w:rPr>
                <w:rFonts w:eastAsia="Arimo" w:cs="Arial"/>
                <w:szCs w:val="20"/>
              </w:rPr>
              <w:id w:val="-1890334078"/>
              <w14:checkbox>
                <w14:checked w14:val="0"/>
                <w14:checkedState w14:val="2612" w14:font="MS Gothic"/>
                <w14:uncheckedState w14:val="2610" w14:font="MS Gothic"/>
              </w14:checkbox>
            </w:sdtPr>
            <w:sdtEndPr/>
            <w:sdtContent>
              <w:p w14:paraId="4F6006DF" w14:textId="77777777" w:rsidR="00EC3153" w:rsidRPr="004D0354" w:rsidRDefault="00EC3153">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F46AD6" w14:textId="77777777" w:rsidR="00EC3153" w:rsidRPr="004D0354" w:rsidRDefault="00EC3153">
            <w:pPr>
              <w:spacing w:line="276" w:lineRule="auto"/>
              <w:jc w:val="center"/>
              <w:rPr>
                <w:rFonts w:cs="Arial"/>
                <w:szCs w:val="20"/>
              </w:rPr>
            </w:pPr>
            <w:r w:rsidRPr="004D0354">
              <w:t>Basic</w:t>
            </w:r>
          </w:p>
          <w:sdt>
            <w:sdtPr>
              <w:rPr>
                <w:rFonts w:eastAsia="Arimo" w:cs="Arial"/>
                <w:szCs w:val="20"/>
              </w:rPr>
              <w:id w:val="1067853255"/>
              <w14:checkbox>
                <w14:checked w14:val="0"/>
                <w14:checkedState w14:val="2612" w14:font="MS Gothic"/>
                <w14:uncheckedState w14:val="2610" w14:font="MS Gothic"/>
              </w14:checkbox>
            </w:sdtPr>
            <w:sdtEndPr/>
            <w:sdtContent>
              <w:p w14:paraId="08B354B5" w14:textId="77777777" w:rsidR="00EC3153" w:rsidRPr="004D0354" w:rsidRDefault="00EC3153">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C569BC" w14:textId="77777777" w:rsidR="00EC3153" w:rsidRPr="004D0354" w:rsidRDefault="00EC3153">
            <w:pPr>
              <w:spacing w:line="276" w:lineRule="auto"/>
              <w:jc w:val="center"/>
              <w:rPr>
                <w:rFonts w:cs="Arial"/>
                <w:szCs w:val="20"/>
              </w:rPr>
            </w:pPr>
            <w:r w:rsidRPr="004D0354">
              <w:t>Good</w:t>
            </w:r>
          </w:p>
          <w:sdt>
            <w:sdtPr>
              <w:rPr>
                <w:rFonts w:eastAsia="Arimo" w:cs="Arial"/>
                <w:szCs w:val="20"/>
              </w:rPr>
              <w:id w:val="-2041665006"/>
              <w14:checkbox>
                <w14:checked w14:val="0"/>
                <w14:checkedState w14:val="2612" w14:font="MS Gothic"/>
                <w14:uncheckedState w14:val="2610" w14:font="MS Gothic"/>
              </w14:checkbox>
            </w:sdtPr>
            <w:sdtEndPr/>
            <w:sdtContent>
              <w:p w14:paraId="4A764429" w14:textId="77777777" w:rsidR="00EC3153" w:rsidRPr="004D0354" w:rsidRDefault="00EC3153">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21C431" w14:textId="77777777" w:rsidR="00EC3153" w:rsidRPr="004D0354" w:rsidRDefault="00EC3153">
            <w:pPr>
              <w:spacing w:line="276" w:lineRule="auto"/>
              <w:jc w:val="center"/>
              <w:rPr>
                <w:rFonts w:cs="Arial"/>
                <w:szCs w:val="20"/>
              </w:rPr>
            </w:pPr>
            <w:r w:rsidRPr="004D0354">
              <w:t>Very good</w:t>
            </w:r>
          </w:p>
          <w:sdt>
            <w:sdtPr>
              <w:rPr>
                <w:rFonts w:eastAsia="Arimo" w:cs="Arial"/>
                <w:szCs w:val="20"/>
              </w:rPr>
              <w:id w:val="-410239135"/>
              <w14:checkbox>
                <w14:checked w14:val="0"/>
                <w14:checkedState w14:val="2612" w14:font="MS Gothic"/>
                <w14:uncheckedState w14:val="2610" w14:font="MS Gothic"/>
              </w14:checkbox>
            </w:sdtPr>
            <w:sdtEndPr/>
            <w:sdtContent>
              <w:p w14:paraId="487069D6" w14:textId="77777777" w:rsidR="00EC3153" w:rsidRPr="004D0354" w:rsidRDefault="00EC3153">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B990F03" w14:textId="77777777" w:rsidR="00EC3153" w:rsidRPr="004D0354" w:rsidRDefault="00EC3153">
            <w:pPr>
              <w:spacing w:line="276" w:lineRule="auto"/>
              <w:jc w:val="center"/>
              <w:rPr>
                <w:rFonts w:cs="Arial"/>
                <w:szCs w:val="20"/>
              </w:rPr>
            </w:pPr>
            <w:r w:rsidRPr="004D0354">
              <w:t>Excellent</w:t>
            </w:r>
          </w:p>
          <w:sdt>
            <w:sdtPr>
              <w:rPr>
                <w:rFonts w:eastAsia="Arimo" w:cs="Arial"/>
                <w:szCs w:val="20"/>
              </w:rPr>
              <w:id w:val="-822743542"/>
              <w14:checkbox>
                <w14:checked w14:val="0"/>
                <w14:checkedState w14:val="2612" w14:font="MS Gothic"/>
                <w14:uncheckedState w14:val="2610" w14:font="MS Gothic"/>
              </w14:checkbox>
            </w:sdtPr>
            <w:sdtEndPr/>
            <w:sdtContent>
              <w:p w14:paraId="59E19884" w14:textId="77777777" w:rsidR="00EC3153" w:rsidRPr="004D0354" w:rsidRDefault="00EC3153">
                <w:pPr>
                  <w:spacing w:line="276" w:lineRule="auto"/>
                  <w:jc w:val="center"/>
                  <w:rPr>
                    <w:rFonts w:cs="Arial"/>
                    <w:szCs w:val="20"/>
                  </w:rPr>
                </w:pPr>
                <w:r w:rsidRPr="004D0354">
                  <w:rPr>
                    <w:rFonts w:ascii="MS Gothic" w:eastAsia="MS Gothic" w:hAnsi="MS Gothic" w:cs="Arial"/>
                    <w:szCs w:val="20"/>
                  </w:rPr>
                  <w:t>☐</w:t>
                </w:r>
              </w:p>
            </w:sdtContent>
          </w:sdt>
        </w:tc>
      </w:tr>
      <w:tr w:rsidR="00EC3153" w:rsidRPr="004D0354" w14:paraId="7BF3F38D"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B6240" w14:textId="77777777" w:rsidR="00EC3153" w:rsidRPr="004D0354" w:rsidRDefault="00EC3153">
            <w:pPr>
              <w:spacing w:line="276" w:lineRule="auto"/>
              <w:rPr>
                <w:rFonts w:cs="Arial"/>
                <w:color w:val="005F9A"/>
                <w:szCs w:val="20"/>
              </w:rPr>
            </w:pPr>
            <w:r w:rsidRPr="004D0354">
              <w:rPr>
                <w:color w:val="005F9A"/>
              </w:rPr>
              <w:lastRenderedPageBreak/>
              <w:t>Evidence for this assessment criterion:</w:t>
            </w:r>
          </w:p>
          <w:p w14:paraId="07E52099" w14:textId="77777777" w:rsidR="00EC3153" w:rsidRPr="004D0354" w:rsidRDefault="00EC3153">
            <w:pPr>
              <w:spacing w:line="276" w:lineRule="auto"/>
              <w:rPr>
                <w:rFonts w:cs="Arial"/>
                <w:color w:val="0000FF"/>
                <w:sz w:val="18"/>
                <w:szCs w:val="18"/>
              </w:rPr>
            </w:pPr>
          </w:p>
          <w:p w14:paraId="7C203DE8" w14:textId="77777777" w:rsidR="00EC3153" w:rsidRPr="004D0354" w:rsidRDefault="00EC3153">
            <w:pPr>
              <w:spacing w:line="276" w:lineRule="auto"/>
              <w:rPr>
                <w:rFonts w:cs="Arial"/>
                <w:color w:val="0000FF"/>
                <w:sz w:val="18"/>
                <w:szCs w:val="18"/>
              </w:rPr>
            </w:pPr>
          </w:p>
        </w:tc>
      </w:tr>
    </w:tbl>
    <w:p w14:paraId="5CD4FB89" w14:textId="77777777" w:rsidR="007853B3" w:rsidRPr="004D0354" w:rsidRDefault="007853B3" w:rsidP="001030B6">
      <w:pPr>
        <w:pStyle w:val="Heading4"/>
      </w:pPr>
    </w:p>
    <w:p w14:paraId="2BA9851B" w14:textId="72E512D3" w:rsidR="00126537" w:rsidRPr="004D0354" w:rsidRDefault="00126537" w:rsidP="001030B6">
      <w:pPr>
        <w:pStyle w:val="Heading4"/>
        <w:rPr>
          <w:rFonts w:cstheme="majorBidi"/>
        </w:rPr>
      </w:pPr>
      <w:r w:rsidRPr="004D0354">
        <w:t>Assessment criterion 4: CEDAW Committee</w:t>
      </w:r>
    </w:p>
    <w:p w14:paraId="21641934" w14:textId="775B91A9" w:rsidR="00126537" w:rsidRPr="004D0354" w:rsidRDefault="00126537" w:rsidP="00126537">
      <w:pPr>
        <w:rPr>
          <w:rFonts w:eastAsia="Times New Roman" w:cs="Arial"/>
        </w:rPr>
      </w:pPr>
      <w:r w:rsidRPr="004D0354">
        <w:t>Parliament participates in the preparation and presentation of national reports to international bodies including the Committee on the Elimination of Discrimination against Women (CEDAW Committee)</w:t>
      </w:r>
      <w:r w:rsidR="00F763D7" w:rsidRPr="004D0354">
        <w:t xml:space="preserve"> </w:t>
      </w:r>
      <w:r w:rsidRPr="004D0354">
        <w:t>and holds debates on the resulting recommendations.</w:t>
      </w:r>
    </w:p>
    <w:p w14:paraId="1827A2CE" w14:textId="77777777" w:rsidR="00126537" w:rsidRPr="004D0354" w:rsidRDefault="00126537" w:rsidP="00126537">
      <w:pPr>
        <w:spacing w:line="276" w:lineRule="auto"/>
        <w:rPr>
          <w:rFonts w:eastAsia="Arial" w:cs="Arial"/>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126537" w:rsidRPr="004D0354" w14:paraId="163259E4" w14:textId="77777777" w:rsidTr="001167A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9D742E" w14:textId="77777777" w:rsidR="00126537" w:rsidRPr="004D0354" w:rsidRDefault="00126537" w:rsidP="001167A5">
            <w:pPr>
              <w:spacing w:line="276" w:lineRule="auto"/>
              <w:jc w:val="center"/>
              <w:rPr>
                <w:rFonts w:cs="Arial"/>
                <w:szCs w:val="20"/>
              </w:rPr>
            </w:pPr>
            <w:r w:rsidRPr="004D0354">
              <w:t>Non-existent</w:t>
            </w:r>
          </w:p>
          <w:sdt>
            <w:sdtPr>
              <w:rPr>
                <w:rFonts w:eastAsia="Arimo" w:cs="Arial"/>
                <w:szCs w:val="20"/>
              </w:rPr>
              <w:id w:val="2072692047"/>
              <w14:checkbox>
                <w14:checked w14:val="0"/>
                <w14:checkedState w14:val="2612" w14:font="MS Gothic"/>
                <w14:uncheckedState w14:val="2610" w14:font="MS Gothic"/>
              </w14:checkbox>
            </w:sdtPr>
            <w:sdtEndPr/>
            <w:sdtContent>
              <w:p w14:paraId="0A7EDD29" w14:textId="77777777" w:rsidR="00126537" w:rsidRPr="004D0354" w:rsidRDefault="00126537" w:rsidP="001167A5">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F71635" w14:textId="77777777" w:rsidR="00126537" w:rsidRPr="004D0354" w:rsidRDefault="00126537" w:rsidP="001167A5">
            <w:pPr>
              <w:spacing w:line="276" w:lineRule="auto"/>
              <w:jc w:val="center"/>
              <w:rPr>
                <w:rFonts w:cs="Arial"/>
                <w:szCs w:val="20"/>
              </w:rPr>
            </w:pPr>
            <w:r w:rsidRPr="004D0354">
              <w:t xml:space="preserve">Rudimentary </w:t>
            </w:r>
          </w:p>
          <w:sdt>
            <w:sdtPr>
              <w:rPr>
                <w:rFonts w:eastAsia="Arimo" w:cs="Arial"/>
                <w:szCs w:val="20"/>
              </w:rPr>
              <w:id w:val="-641278685"/>
              <w14:checkbox>
                <w14:checked w14:val="0"/>
                <w14:checkedState w14:val="2612" w14:font="MS Gothic"/>
                <w14:uncheckedState w14:val="2610" w14:font="MS Gothic"/>
              </w14:checkbox>
            </w:sdtPr>
            <w:sdtEndPr/>
            <w:sdtContent>
              <w:p w14:paraId="051BBE75" w14:textId="77777777" w:rsidR="00126537" w:rsidRPr="004D0354" w:rsidRDefault="00126537" w:rsidP="001167A5">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6641C2" w14:textId="77777777" w:rsidR="00126537" w:rsidRPr="004D0354" w:rsidRDefault="00126537" w:rsidP="001167A5">
            <w:pPr>
              <w:spacing w:line="276" w:lineRule="auto"/>
              <w:jc w:val="center"/>
              <w:rPr>
                <w:rFonts w:cs="Arial"/>
                <w:szCs w:val="20"/>
              </w:rPr>
            </w:pPr>
            <w:r w:rsidRPr="004D0354">
              <w:t>Basic</w:t>
            </w:r>
          </w:p>
          <w:sdt>
            <w:sdtPr>
              <w:rPr>
                <w:rFonts w:eastAsia="Arimo" w:cs="Arial"/>
                <w:szCs w:val="20"/>
              </w:rPr>
              <w:id w:val="-109589646"/>
              <w14:checkbox>
                <w14:checked w14:val="0"/>
                <w14:checkedState w14:val="2612" w14:font="MS Gothic"/>
                <w14:uncheckedState w14:val="2610" w14:font="MS Gothic"/>
              </w14:checkbox>
            </w:sdtPr>
            <w:sdtEndPr/>
            <w:sdtContent>
              <w:p w14:paraId="31F56C3F" w14:textId="77777777" w:rsidR="00126537" w:rsidRPr="004D0354" w:rsidRDefault="00126537" w:rsidP="001167A5">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466C47" w14:textId="77777777" w:rsidR="00126537" w:rsidRPr="004D0354" w:rsidRDefault="00126537" w:rsidP="001167A5">
            <w:pPr>
              <w:spacing w:line="276" w:lineRule="auto"/>
              <w:jc w:val="center"/>
              <w:rPr>
                <w:rFonts w:cs="Arial"/>
                <w:szCs w:val="20"/>
              </w:rPr>
            </w:pPr>
            <w:r w:rsidRPr="004D0354">
              <w:t>Good</w:t>
            </w:r>
          </w:p>
          <w:sdt>
            <w:sdtPr>
              <w:rPr>
                <w:rFonts w:eastAsia="Arimo" w:cs="Arial"/>
                <w:szCs w:val="20"/>
              </w:rPr>
              <w:id w:val="1076329049"/>
              <w14:checkbox>
                <w14:checked w14:val="0"/>
                <w14:checkedState w14:val="2612" w14:font="MS Gothic"/>
                <w14:uncheckedState w14:val="2610" w14:font="MS Gothic"/>
              </w14:checkbox>
            </w:sdtPr>
            <w:sdtEndPr/>
            <w:sdtContent>
              <w:p w14:paraId="3BB4ACE5" w14:textId="77777777" w:rsidR="00126537" w:rsidRPr="004D0354" w:rsidRDefault="00126537" w:rsidP="001167A5">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59A383" w14:textId="77777777" w:rsidR="00126537" w:rsidRPr="004D0354" w:rsidRDefault="00126537" w:rsidP="001167A5">
            <w:pPr>
              <w:spacing w:line="276" w:lineRule="auto"/>
              <w:jc w:val="center"/>
              <w:rPr>
                <w:rFonts w:cs="Arial"/>
                <w:szCs w:val="20"/>
              </w:rPr>
            </w:pPr>
            <w:r w:rsidRPr="004D0354">
              <w:t>Very good</w:t>
            </w:r>
          </w:p>
          <w:sdt>
            <w:sdtPr>
              <w:rPr>
                <w:rFonts w:eastAsia="Arimo" w:cs="Arial"/>
                <w:szCs w:val="20"/>
              </w:rPr>
              <w:id w:val="145331644"/>
              <w14:checkbox>
                <w14:checked w14:val="0"/>
                <w14:checkedState w14:val="2612" w14:font="MS Gothic"/>
                <w14:uncheckedState w14:val="2610" w14:font="MS Gothic"/>
              </w14:checkbox>
            </w:sdtPr>
            <w:sdtEndPr/>
            <w:sdtContent>
              <w:p w14:paraId="12E295A9" w14:textId="77777777" w:rsidR="00126537" w:rsidRPr="004D0354" w:rsidRDefault="00126537" w:rsidP="001167A5">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994294C" w14:textId="77777777" w:rsidR="00126537" w:rsidRPr="004D0354" w:rsidRDefault="00126537" w:rsidP="001167A5">
            <w:pPr>
              <w:spacing w:line="276" w:lineRule="auto"/>
              <w:jc w:val="center"/>
              <w:rPr>
                <w:rFonts w:cs="Arial"/>
                <w:szCs w:val="20"/>
              </w:rPr>
            </w:pPr>
            <w:r w:rsidRPr="004D0354">
              <w:t>Excellent</w:t>
            </w:r>
          </w:p>
          <w:sdt>
            <w:sdtPr>
              <w:rPr>
                <w:rFonts w:eastAsia="Arimo" w:cs="Arial"/>
                <w:szCs w:val="20"/>
              </w:rPr>
              <w:id w:val="-1713411060"/>
              <w14:checkbox>
                <w14:checked w14:val="0"/>
                <w14:checkedState w14:val="2612" w14:font="MS Gothic"/>
                <w14:uncheckedState w14:val="2610" w14:font="MS Gothic"/>
              </w14:checkbox>
            </w:sdtPr>
            <w:sdtEndPr/>
            <w:sdtContent>
              <w:p w14:paraId="64010539" w14:textId="77777777" w:rsidR="00126537" w:rsidRPr="004D0354" w:rsidRDefault="00126537" w:rsidP="001167A5">
                <w:pPr>
                  <w:spacing w:line="276" w:lineRule="auto"/>
                  <w:jc w:val="center"/>
                  <w:rPr>
                    <w:rFonts w:cs="Arial"/>
                    <w:szCs w:val="20"/>
                  </w:rPr>
                </w:pPr>
                <w:r w:rsidRPr="004D0354">
                  <w:rPr>
                    <w:rFonts w:ascii="MS Gothic" w:eastAsia="MS Gothic" w:hAnsi="MS Gothic" w:cs="Arial"/>
                    <w:szCs w:val="20"/>
                  </w:rPr>
                  <w:t>☐</w:t>
                </w:r>
              </w:p>
            </w:sdtContent>
          </w:sdt>
        </w:tc>
      </w:tr>
      <w:tr w:rsidR="00126537" w:rsidRPr="004D0354" w14:paraId="19156009" w14:textId="77777777" w:rsidTr="001167A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F2ECF" w14:textId="77777777" w:rsidR="00126537" w:rsidRPr="004D0354" w:rsidRDefault="00126537" w:rsidP="001167A5">
            <w:pPr>
              <w:spacing w:line="276" w:lineRule="auto"/>
              <w:rPr>
                <w:rFonts w:cs="Arial"/>
                <w:color w:val="005F9A"/>
                <w:szCs w:val="20"/>
              </w:rPr>
            </w:pPr>
            <w:r w:rsidRPr="004D0354">
              <w:rPr>
                <w:color w:val="005F9A"/>
              </w:rPr>
              <w:t>Evidence for this assessment criterion:</w:t>
            </w:r>
          </w:p>
          <w:p w14:paraId="6FA390C4" w14:textId="77777777" w:rsidR="00126537" w:rsidRPr="004D0354" w:rsidRDefault="00126537" w:rsidP="001167A5">
            <w:pPr>
              <w:spacing w:line="276" w:lineRule="auto"/>
              <w:rPr>
                <w:rFonts w:cs="Arial"/>
                <w:color w:val="0000FF"/>
                <w:sz w:val="18"/>
                <w:szCs w:val="18"/>
              </w:rPr>
            </w:pPr>
          </w:p>
          <w:p w14:paraId="70F599AC" w14:textId="77777777" w:rsidR="00126537" w:rsidRPr="004D0354" w:rsidRDefault="00126537" w:rsidP="001167A5">
            <w:pPr>
              <w:spacing w:line="276" w:lineRule="auto"/>
              <w:rPr>
                <w:rFonts w:cs="Arial"/>
                <w:color w:val="0000FF"/>
                <w:sz w:val="18"/>
                <w:szCs w:val="18"/>
              </w:rPr>
            </w:pPr>
          </w:p>
        </w:tc>
      </w:tr>
    </w:tbl>
    <w:p w14:paraId="350E3EDA" w14:textId="224249CB" w:rsidR="00295648" w:rsidRPr="004D0354" w:rsidRDefault="00295648" w:rsidP="001030B6">
      <w:pPr>
        <w:pStyle w:val="Heading4"/>
        <w:rPr>
          <w:rFonts w:cstheme="majorBidi"/>
        </w:rPr>
      </w:pPr>
      <w:r w:rsidRPr="004D0354">
        <w:t xml:space="preserve">Assessment criterion </w:t>
      </w:r>
      <w:r w:rsidR="00D83726" w:rsidRPr="004D0354">
        <w:t>5</w:t>
      </w:r>
      <w:r w:rsidRPr="004D0354">
        <w:t xml:space="preserve">: </w:t>
      </w:r>
      <w:r w:rsidR="00D83726" w:rsidRPr="004D0354">
        <w:t>Resources</w:t>
      </w:r>
      <w:r w:rsidRPr="004D0354">
        <w:t xml:space="preserve"> </w:t>
      </w:r>
    </w:p>
    <w:p w14:paraId="7E8E1200" w14:textId="60FD4802" w:rsidR="00295648" w:rsidRPr="004D0354" w:rsidRDefault="004F592D" w:rsidP="00EC3153">
      <w:pPr>
        <w:rPr>
          <w:rFonts w:eastAsia="Arial" w:cs="Arial"/>
          <w:color w:val="000000"/>
          <w:szCs w:val="20"/>
        </w:rPr>
      </w:pPr>
      <w:r w:rsidRPr="004D0354">
        <w:t>Training on gender issues is provided for all MPs. Parliamentary research and committee staff have the capacity to provide expert analysis and briefings on gender issues, including gender statistics and sex-disaggregated data</w:t>
      </w:r>
      <w:r w:rsidR="00295648" w:rsidRPr="004D0354">
        <w:rPr>
          <w:color w:val="000000"/>
        </w:rPr>
        <w:t xml:space="preserve">. </w:t>
      </w:r>
    </w:p>
    <w:p w14:paraId="2B557DEA" w14:textId="77777777" w:rsidR="00295648" w:rsidRPr="004D0354" w:rsidRDefault="00295648" w:rsidP="00295648">
      <w:pPr>
        <w:spacing w:line="276" w:lineRule="auto"/>
        <w:rPr>
          <w:rFonts w:eastAsia="Arial" w:cs="Arial"/>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C3153" w:rsidRPr="004D0354" w14:paraId="5389178D"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D50F36" w14:textId="77777777" w:rsidR="00EC3153" w:rsidRPr="004D0354" w:rsidRDefault="00EC3153">
            <w:pPr>
              <w:spacing w:line="276" w:lineRule="auto"/>
              <w:jc w:val="center"/>
              <w:rPr>
                <w:rFonts w:cs="Arial"/>
                <w:szCs w:val="20"/>
              </w:rPr>
            </w:pPr>
            <w:r w:rsidRPr="004D0354">
              <w:t>Non-existent</w:t>
            </w:r>
          </w:p>
          <w:sdt>
            <w:sdtPr>
              <w:rPr>
                <w:rFonts w:eastAsia="Arimo" w:cs="Arial"/>
                <w:szCs w:val="20"/>
              </w:rPr>
              <w:id w:val="-2128074634"/>
              <w14:checkbox>
                <w14:checked w14:val="0"/>
                <w14:checkedState w14:val="2612" w14:font="MS Gothic"/>
                <w14:uncheckedState w14:val="2610" w14:font="MS Gothic"/>
              </w14:checkbox>
            </w:sdtPr>
            <w:sdtEndPr/>
            <w:sdtContent>
              <w:p w14:paraId="33B55459" w14:textId="77777777" w:rsidR="00EC3153" w:rsidRPr="004D0354" w:rsidRDefault="00EC3153">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71A9FB" w14:textId="77777777" w:rsidR="00EC3153" w:rsidRPr="004D0354" w:rsidRDefault="00EC3153">
            <w:pPr>
              <w:spacing w:line="276" w:lineRule="auto"/>
              <w:jc w:val="center"/>
              <w:rPr>
                <w:rFonts w:cs="Arial"/>
                <w:szCs w:val="20"/>
              </w:rPr>
            </w:pPr>
            <w:r w:rsidRPr="004D0354">
              <w:t xml:space="preserve">Rudimentary </w:t>
            </w:r>
          </w:p>
          <w:sdt>
            <w:sdtPr>
              <w:rPr>
                <w:rFonts w:eastAsia="Arimo" w:cs="Arial"/>
                <w:szCs w:val="20"/>
              </w:rPr>
              <w:id w:val="-1793357959"/>
              <w14:checkbox>
                <w14:checked w14:val="0"/>
                <w14:checkedState w14:val="2612" w14:font="MS Gothic"/>
                <w14:uncheckedState w14:val="2610" w14:font="MS Gothic"/>
              </w14:checkbox>
            </w:sdtPr>
            <w:sdtEndPr/>
            <w:sdtContent>
              <w:p w14:paraId="7992DF3E" w14:textId="77777777" w:rsidR="00EC3153" w:rsidRPr="004D0354" w:rsidRDefault="00EC3153">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8B3E4B" w14:textId="77777777" w:rsidR="00EC3153" w:rsidRPr="004D0354" w:rsidRDefault="00EC3153">
            <w:pPr>
              <w:spacing w:line="276" w:lineRule="auto"/>
              <w:jc w:val="center"/>
              <w:rPr>
                <w:rFonts w:cs="Arial"/>
                <w:szCs w:val="20"/>
              </w:rPr>
            </w:pPr>
            <w:r w:rsidRPr="004D0354">
              <w:t>Basic</w:t>
            </w:r>
          </w:p>
          <w:sdt>
            <w:sdtPr>
              <w:rPr>
                <w:rFonts w:eastAsia="Arimo" w:cs="Arial"/>
                <w:szCs w:val="20"/>
              </w:rPr>
              <w:id w:val="-1681348547"/>
              <w14:checkbox>
                <w14:checked w14:val="0"/>
                <w14:checkedState w14:val="2612" w14:font="MS Gothic"/>
                <w14:uncheckedState w14:val="2610" w14:font="MS Gothic"/>
              </w14:checkbox>
            </w:sdtPr>
            <w:sdtEndPr/>
            <w:sdtContent>
              <w:p w14:paraId="02E184F6" w14:textId="77777777" w:rsidR="00EC3153" w:rsidRPr="004D0354" w:rsidRDefault="00EC3153">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B6904F" w14:textId="77777777" w:rsidR="00EC3153" w:rsidRPr="004D0354" w:rsidRDefault="00EC3153">
            <w:pPr>
              <w:spacing w:line="276" w:lineRule="auto"/>
              <w:jc w:val="center"/>
              <w:rPr>
                <w:rFonts w:cs="Arial"/>
                <w:szCs w:val="20"/>
              </w:rPr>
            </w:pPr>
            <w:r w:rsidRPr="004D0354">
              <w:t>Good</w:t>
            </w:r>
          </w:p>
          <w:sdt>
            <w:sdtPr>
              <w:rPr>
                <w:rFonts w:eastAsia="Arimo" w:cs="Arial"/>
                <w:szCs w:val="20"/>
              </w:rPr>
              <w:id w:val="-1915073343"/>
              <w14:checkbox>
                <w14:checked w14:val="0"/>
                <w14:checkedState w14:val="2612" w14:font="MS Gothic"/>
                <w14:uncheckedState w14:val="2610" w14:font="MS Gothic"/>
              </w14:checkbox>
            </w:sdtPr>
            <w:sdtEndPr/>
            <w:sdtContent>
              <w:p w14:paraId="16CAF05C" w14:textId="77777777" w:rsidR="00EC3153" w:rsidRPr="004D0354" w:rsidRDefault="00EC3153">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73B2BF" w14:textId="77777777" w:rsidR="00EC3153" w:rsidRPr="004D0354" w:rsidRDefault="00EC3153">
            <w:pPr>
              <w:spacing w:line="276" w:lineRule="auto"/>
              <w:jc w:val="center"/>
              <w:rPr>
                <w:rFonts w:cs="Arial"/>
                <w:szCs w:val="20"/>
              </w:rPr>
            </w:pPr>
            <w:r w:rsidRPr="004D0354">
              <w:t>Very good</w:t>
            </w:r>
          </w:p>
          <w:sdt>
            <w:sdtPr>
              <w:rPr>
                <w:rFonts w:eastAsia="Arimo" w:cs="Arial"/>
                <w:szCs w:val="20"/>
              </w:rPr>
              <w:id w:val="-412629044"/>
              <w14:checkbox>
                <w14:checked w14:val="0"/>
                <w14:checkedState w14:val="2612" w14:font="MS Gothic"/>
                <w14:uncheckedState w14:val="2610" w14:font="MS Gothic"/>
              </w14:checkbox>
            </w:sdtPr>
            <w:sdtEndPr/>
            <w:sdtContent>
              <w:p w14:paraId="2B9CFB24" w14:textId="77777777" w:rsidR="00EC3153" w:rsidRPr="004D0354" w:rsidRDefault="00EC3153">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05B5EEF" w14:textId="77777777" w:rsidR="00EC3153" w:rsidRPr="004D0354" w:rsidRDefault="00EC3153">
            <w:pPr>
              <w:spacing w:line="276" w:lineRule="auto"/>
              <w:jc w:val="center"/>
              <w:rPr>
                <w:rFonts w:cs="Arial"/>
                <w:szCs w:val="20"/>
              </w:rPr>
            </w:pPr>
            <w:r w:rsidRPr="004D0354">
              <w:t>Excellent</w:t>
            </w:r>
          </w:p>
          <w:sdt>
            <w:sdtPr>
              <w:rPr>
                <w:rFonts w:eastAsia="Arimo" w:cs="Arial"/>
                <w:szCs w:val="20"/>
              </w:rPr>
              <w:id w:val="865562526"/>
              <w14:checkbox>
                <w14:checked w14:val="0"/>
                <w14:checkedState w14:val="2612" w14:font="MS Gothic"/>
                <w14:uncheckedState w14:val="2610" w14:font="MS Gothic"/>
              </w14:checkbox>
            </w:sdtPr>
            <w:sdtEndPr/>
            <w:sdtContent>
              <w:p w14:paraId="0C55D2EA" w14:textId="77777777" w:rsidR="00EC3153" w:rsidRPr="004D0354" w:rsidRDefault="00EC3153">
                <w:pPr>
                  <w:spacing w:line="276" w:lineRule="auto"/>
                  <w:jc w:val="center"/>
                  <w:rPr>
                    <w:rFonts w:cs="Arial"/>
                    <w:szCs w:val="20"/>
                  </w:rPr>
                </w:pPr>
                <w:r w:rsidRPr="004D0354">
                  <w:rPr>
                    <w:rFonts w:ascii="MS Gothic" w:eastAsia="MS Gothic" w:hAnsi="MS Gothic" w:cs="Arial"/>
                    <w:szCs w:val="20"/>
                  </w:rPr>
                  <w:t>☐</w:t>
                </w:r>
              </w:p>
            </w:sdtContent>
          </w:sdt>
        </w:tc>
      </w:tr>
      <w:tr w:rsidR="00EC3153" w:rsidRPr="004D0354" w14:paraId="4792D1A8"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94D12" w14:textId="77777777" w:rsidR="00EC3153" w:rsidRPr="004D0354" w:rsidRDefault="00EC3153">
            <w:pPr>
              <w:spacing w:line="276" w:lineRule="auto"/>
              <w:rPr>
                <w:rFonts w:cs="Arial"/>
                <w:color w:val="005F9A"/>
                <w:szCs w:val="20"/>
              </w:rPr>
            </w:pPr>
            <w:r w:rsidRPr="004D0354">
              <w:rPr>
                <w:color w:val="005F9A"/>
              </w:rPr>
              <w:t>Evidence for this assessment criterion:</w:t>
            </w:r>
          </w:p>
          <w:p w14:paraId="75EE8500" w14:textId="77777777" w:rsidR="00EC3153" w:rsidRPr="004D0354" w:rsidRDefault="00EC3153">
            <w:pPr>
              <w:spacing w:line="276" w:lineRule="auto"/>
              <w:rPr>
                <w:rFonts w:cs="Arial"/>
                <w:color w:val="0000FF"/>
                <w:sz w:val="18"/>
                <w:szCs w:val="18"/>
              </w:rPr>
            </w:pPr>
          </w:p>
          <w:p w14:paraId="5A714C8E" w14:textId="77777777" w:rsidR="00EC3153" w:rsidRPr="004D0354" w:rsidRDefault="00EC3153">
            <w:pPr>
              <w:spacing w:line="276" w:lineRule="auto"/>
              <w:rPr>
                <w:rFonts w:cs="Arial"/>
                <w:color w:val="0000FF"/>
                <w:sz w:val="18"/>
                <w:szCs w:val="18"/>
              </w:rPr>
            </w:pPr>
          </w:p>
        </w:tc>
      </w:tr>
    </w:tbl>
    <w:p w14:paraId="3469631A" w14:textId="265B87AF" w:rsidR="00EC3153" w:rsidRPr="004D0354" w:rsidRDefault="00EC3153" w:rsidP="00677367">
      <w:pPr>
        <w:pStyle w:val="section-title"/>
      </w:pPr>
      <w:r w:rsidRPr="004D0354">
        <w:t>Recommendations for change</w:t>
      </w:r>
    </w:p>
    <w:tbl>
      <w:tblPr>
        <w:tblStyle w:val="TableGrid"/>
        <w:tblW w:w="5000" w:type="pct"/>
        <w:tblCellMar>
          <w:left w:w="115" w:type="dxa"/>
          <w:right w:w="115" w:type="dxa"/>
        </w:tblCellMar>
        <w:tblLook w:val="04A0" w:firstRow="1" w:lastRow="0" w:firstColumn="1" w:lastColumn="0" w:noHBand="0" w:noVBand="1"/>
      </w:tblPr>
      <w:tblGrid>
        <w:gridCol w:w="8780"/>
      </w:tblGrid>
      <w:tr w:rsidR="00EC3153" w:rsidRPr="004D0354" w14:paraId="3CBEF2D1" w14:textId="77777777" w:rsidTr="00EC3153">
        <w:trPr>
          <w:trHeight w:val="1440"/>
        </w:trPr>
        <w:tc>
          <w:tcPr>
            <w:tcW w:w="5000" w:type="pct"/>
            <w:tcBorders>
              <w:top w:val="single" w:sz="4" w:space="0" w:color="auto"/>
              <w:left w:val="single" w:sz="4" w:space="0" w:color="auto"/>
              <w:bottom w:val="single" w:sz="4" w:space="0" w:color="auto"/>
              <w:right w:val="single" w:sz="4" w:space="0" w:color="auto"/>
            </w:tcBorders>
          </w:tcPr>
          <w:p w14:paraId="4A0BAB7F" w14:textId="41F1CF76" w:rsidR="00EC3153" w:rsidRPr="004D0354" w:rsidRDefault="007D26BB" w:rsidP="007D26BB">
            <w:pPr>
              <w:rPr>
                <w:i/>
                <w:szCs w:val="20"/>
              </w:rPr>
            </w:pPr>
            <w:r w:rsidRPr="004D0354">
              <w:rPr>
                <w:i/>
                <w:shd w:val="clear" w:color="auto" w:fill="FFFFFF"/>
              </w:rPr>
              <w:t>Use this space to note down recommendations and ideas for strengthening rules and practice in this area.</w:t>
            </w:r>
          </w:p>
        </w:tc>
      </w:tr>
    </w:tbl>
    <w:p w14:paraId="331AF551" w14:textId="74B0BD5A" w:rsidR="00EC3153" w:rsidRPr="004D0354" w:rsidRDefault="00EC3153" w:rsidP="00677367">
      <w:pPr>
        <w:pStyle w:val="section-title"/>
      </w:pPr>
      <w:r w:rsidRPr="004D0354">
        <w:t xml:space="preserve">Sources </w:t>
      </w:r>
      <w:r w:rsidR="00432785" w:rsidRPr="004D0354">
        <w:t xml:space="preserve">and </w:t>
      </w:r>
      <w:r w:rsidRPr="004D0354">
        <w:t>further reading</w:t>
      </w:r>
    </w:p>
    <w:p w14:paraId="5FD1F6C9" w14:textId="41BED76B" w:rsidR="001B7E82" w:rsidRPr="004D0354" w:rsidRDefault="001B7E82" w:rsidP="001B7E82">
      <w:pPr>
        <w:numPr>
          <w:ilvl w:val="0"/>
          <w:numId w:val="11"/>
        </w:numPr>
        <w:pBdr>
          <w:top w:val="nil"/>
          <w:left w:val="nil"/>
          <w:bottom w:val="nil"/>
          <w:right w:val="nil"/>
          <w:between w:val="nil"/>
        </w:pBdr>
        <w:ind w:left="562" w:hanging="562"/>
        <w:rPr>
          <w:rFonts w:eastAsia="Arial" w:cs="Arial"/>
          <w:color w:val="000000"/>
          <w:szCs w:val="20"/>
        </w:rPr>
      </w:pPr>
      <w:bookmarkStart w:id="9" w:name="_Hlk147308267"/>
      <w:r w:rsidRPr="004D0354">
        <w:rPr>
          <w:color w:val="000000"/>
        </w:rPr>
        <w:t xml:space="preserve">Inter-Parliamentary Union (IPU), </w:t>
      </w:r>
      <w:hyperlink r:id="rId20">
        <w:r w:rsidRPr="004D0354">
          <w:rPr>
            <w:i/>
            <w:color w:val="0563C1"/>
            <w:u w:val="single"/>
          </w:rPr>
          <w:t>Gender-Sensitive Parliaments:</w:t>
        </w:r>
      </w:hyperlink>
      <w:hyperlink r:id="rId21">
        <w:r w:rsidRPr="004D0354">
          <w:rPr>
            <w:i/>
            <w:color w:val="0563C1"/>
            <w:u w:val="single"/>
          </w:rPr>
          <w:t xml:space="preserve"> A Global Review of Good Practice</w:t>
        </w:r>
      </w:hyperlink>
      <w:r w:rsidRPr="004D0354">
        <w:rPr>
          <w:iCs/>
          <w:color w:val="000000"/>
        </w:rPr>
        <w:t xml:space="preserve">, </w:t>
      </w:r>
      <w:r w:rsidRPr="004D0354">
        <w:rPr>
          <w:color w:val="000000"/>
        </w:rPr>
        <w:t>(2011).</w:t>
      </w:r>
    </w:p>
    <w:p w14:paraId="7A074836" w14:textId="28DDC1B5" w:rsidR="00295648" w:rsidRPr="004D0354" w:rsidRDefault="00295648" w:rsidP="00EC3153">
      <w:pPr>
        <w:numPr>
          <w:ilvl w:val="0"/>
          <w:numId w:val="11"/>
        </w:numPr>
        <w:pBdr>
          <w:top w:val="nil"/>
          <w:left w:val="nil"/>
          <w:bottom w:val="nil"/>
          <w:right w:val="nil"/>
          <w:between w:val="nil"/>
        </w:pBdr>
        <w:ind w:left="562" w:hanging="562"/>
        <w:rPr>
          <w:rFonts w:eastAsia="Arial" w:cs="Arial"/>
          <w:color w:val="000000"/>
          <w:szCs w:val="20"/>
        </w:rPr>
      </w:pPr>
      <w:r w:rsidRPr="004D0354">
        <w:rPr>
          <w:color w:val="000000"/>
        </w:rPr>
        <w:t xml:space="preserve">IPU, </w:t>
      </w:r>
      <w:hyperlink r:id="rId22">
        <w:r w:rsidRPr="004D0354">
          <w:rPr>
            <w:i/>
            <w:color w:val="0563C1"/>
            <w:u w:val="single"/>
          </w:rPr>
          <w:t>Evaluating the gender-sensitivity of parliaments</w:t>
        </w:r>
      </w:hyperlink>
      <w:r w:rsidRPr="004D0354">
        <w:rPr>
          <w:i/>
          <w:color w:val="0563C1"/>
          <w:u w:val="single"/>
        </w:rPr>
        <w:t>: A self-assessment toolkit</w:t>
      </w:r>
      <w:r w:rsidRPr="004D0354">
        <w:rPr>
          <w:i/>
          <w:color w:val="0563C1"/>
        </w:rPr>
        <w:t xml:space="preserve"> </w:t>
      </w:r>
      <w:r w:rsidRPr="004D0354">
        <w:rPr>
          <w:color w:val="000000"/>
        </w:rPr>
        <w:t>(2016).</w:t>
      </w:r>
    </w:p>
    <w:p w14:paraId="79FFB9F7" w14:textId="7626AE79" w:rsidR="00295648" w:rsidRPr="004D0354" w:rsidRDefault="00295648" w:rsidP="00EC3153">
      <w:pPr>
        <w:numPr>
          <w:ilvl w:val="0"/>
          <w:numId w:val="11"/>
        </w:numPr>
        <w:pBdr>
          <w:top w:val="nil"/>
          <w:left w:val="nil"/>
          <w:bottom w:val="nil"/>
          <w:right w:val="nil"/>
          <w:between w:val="nil"/>
        </w:pBdr>
        <w:ind w:left="562" w:hanging="562"/>
        <w:rPr>
          <w:rFonts w:eastAsia="Arial" w:cs="Arial"/>
          <w:color w:val="000000"/>
          <w:szCs w:val="20"/>
        </w:rPr>
      </w:pPr>
      <w:r w:rsidRPr="004D0354">
        <w:rPr>
          <w:color w:val="000000"/>
        </w:rPr>
        <w:t xml:space="preserve">Organization for Security and Co-operation in Europe (OSCE), </w:t>
      </w:r>
      <w:hyperlink r:id="rId23">
        <w:r w:rsidRPr="004D0354">
          <w:rPr>
            <w:i/>
            <w:color w:val="0563C1"/>
            <w:u w:val="single"/>
          </w:rPr>
          <w:t>Making Laws Work for Women and Men:</w:t>
        </w:r>
      </w:hyperlink>
      <w:hyperlink r:id="rId24">
        <w:r w:rsidRPr="004D0354">
          <w:rPr>
            <w:i/>
            <w:color w:val="0563C1"/>
            <w:u w:val="single"/>
          </w:rPr>
          <w:t xml:space="preserve"> A Practical Guide to Gender-Sensitive Legislation</w:t>
        </w:r>
      </w:hyperlink>
      <w:r w:rsidRPr="004D0354">
        <w:rPr>
          <w:i/>
          <w:color w:val="000000"/>
          <w:u w:val="single"/>
        </w:rPr>
        <w:t xml:space="preserve"> </w:t>
      </w:r>
      <w:r w:rsidRPr="004D0354">
        <w:rPr>
          <w:color w:val="000000"/>
        </w:rPr>
        <w:t xml:space="preserve">(2017). </w:t>
      </w:r>
    </w:p>
    <w:p w14:paraId="7A7DD62F" w14:textId="327E06AF" w:rsidR="00295648" w:rsidRPr="00575CC0" w:rsidRDefault="00295648" w:rsidP="003E5911">
      <w:pPr>
        <w:numPr>
          <w:ilvl w:val="0"/>
          <w:numId w:val="11"/>
        </w:numPr>
        <w:pBdr>
          <w:top w:val="nil"/>
          <w:left w:val="nil"/>
          <w:bottom w:val="nil"/>
          <w:right w:val="nil"/>
          <w:between w:val="nil"/>
        </w:pBdr>
        <w:spacing w:line="276" w:lineRule="auto"/>
        <w:ind w:left="562" w:hanging="562"/>
        <w:rPr>
          <w:rFonts w:eastAsia="Arial" w:cs="Arial"/>
          <w:szCs w:val="20"/>
          <w:lang w:eastAsia="en-GB"/>
        </w:rPr>
      </w:pPr>
      <w:r w:rsidRPr="00575CC0">
        <w:rPr>
          <w:color w:val="000000"/>
        </w:rPr>
        <w:t>United Nations Development Programme (UNDP)</w:t>
      </w:r>
      <w:r w:rsidR="00243670" w:rsidRPr="00575CC0">
        <w:rPr>
          <w:color w:val="000000"/>
        </w:rPr>
        <w:t xml:space="preserve"> and Parliament of the Republic of Fiji</w:t>
      </w:r>
      <w:r w:rsidRPr="00575CC0">
        <w:rPr>
          <w:color w:val="000000"/>
        </w:rPr>
        <w:t xml:space="preserve">, </w:t>
      </w:r>
      <w:hyperlink r:id="rId25">
        <w:r w:rsidRPr="00575CC0">
          <w:rPr>
            <w:i/>
            <w:color w:val="0563C1"/>
            <w:u w:val="single"/>
          </w:rPr>
          <w:t>Scrutinising Legislation from a Gender Perspective</w:t>
        </w:r>
      </w:hyperlink>
      <w:r w:rsidR="00243670" w:rsidRPr="00575CC0">
        <w:rPr>
          <w:i/>
          <w:color w:val="0563C1"/>
          <w:u w:val="single"/>
        </w:rPr>
        <w:t>: A Practical Toolkit</w:t>
      </w:r>
      <w:r w:rsidR="00243670" w:rsidRPr="00575CC0">
        <w:rPr>
          <w:i/>
          <w:color w:val="000000"/>
        </w:rPr>
        <w:t xml:space="preserve"> </w:t>
      </w:r>
      <w:r w:rsidR="00243670" w:rsidRPr="00575CC0">
        <w:rPr>
          <w:iCs/>
          <w:color w:val="000000"/>
        </w:rPr>
        <w:t>(2017).</w:t>
      </w:r>
    </w:p>
    <w:bookmarkEnd w:id="9"/>
    <w:p w14:paraId="7A09070B" w14:textId="6C66E36A" w:rsidR="00295648" w:rsidRPr="004D0354" w:rsidRDefault="007E5D1E" w:rsidP="002B4148">
      <w:pPr>
        <w:pStyle w:val="Heading3"/>
      </w:pPr>
      <w:r w:rsidRPr="004D0354">
        <w:lastRenderedPageBreak/>
        <w:t>Dimension 5.1.4: Gender-responsive budgeting</w:t>
      </w:r>
    </w:p>
    <w:tbl>
      <w:tblPr>
        <w:tblStyle w:val="TableGrid"/>
        <w:tblW w:w="0" w:type="auto"/>
        <w:shd w:val="clear" w:color="auto" w:fill="EEEEEE"/>
        <w:tblLook w:val="04A0" w:firstRow="1" w:lastRow="0" w:firstColumn="1" w:lastColumn="0" w:noHBand="0" w:noVBand="1"/>
      </w:tblPr>
      <w:tblGrid>
        <w:gridCol w:w="8780"/>
      </w:tblGrid>
      <w:tr w:rsidR="008422F8" w:rsidRPr="004D0354" w14:paraId="35FF5902" w14:textId="77777777" w:rsidTr="008422F8">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34400821" w14:textId="7D7896E1" w:rsidR="008422F8" w:rsidRPr="004D0354" w:rsidRDefault="008422F8">
            <w:pPr>
              <w:rPr>
                <w:rFonts w:eastAsia="Arial" w:cs="Arial"/>
                <w:szCs w:val="20"/>
              </w:rPr>
            </w:pPr>
            <w:r w:rsidRPr="004D0354">
              <w:t>This dimension is part of:</w:t>
            </w:r>
          </w:p>
          <w:p w14:paraId="047C64DD" w14:textId="77777777" w:rsidR="00677367" w:rsidRPr="004D0354" w:rsidRDefault="00677367" w:rsidP="00FC3A37">
            <w:pPr>
              <w:pStyle w:val="ListParagraph"/>
            </w:pPr>
            <w:r w:rsidRPr="004D0354">
              <w:t xml:space="preserve">Indicator 5.1: Inclusive law-making, oversight and budgeting </w:t>
            </w:r>
          </w:p>
          <w:p w14:paraId="6E11A54C" w14:textId="4A61427F" w:rsidR="008422F8" w:rsidRPr="004D0354" w:rsidRDefault="000964D9" w:rsidP="004D0354">
            <w:pPr>
              <w:pStyle w:val="ListParagraph"/>
              <w:rPr>
                <w:sz w:val="24"/>
              </w:rPr>
            </w:pPr>
            <w:r w:rsidRPr="004D0354">
              <w:t>T</w:t>
            </w:r>
            <w:r w:rsidR="008422F8" w:rsidRPr="004D0354">
              <w:t>arget 5: Inclusive parliament</w:t>
            </w:r>
          </w:p>
        </w:tc>
      </w:tr>
    </w:tbl>
    <w:p w14:paraId="0818758C" w14:textId="20710A7C" w:rsidR="00295648" w:rsidRPr="004D0354" w:rsidRDefault="00295648" w:rsidP="00677367">
      <w:pPr>
        <w:pStyle w:val="section-title"/>
      </w:pPr>
      <w:r w:rsidRPr="004D0354">
        <w:t>About this dimension</w:t>
      </w:r>
    </w:p>
    <w:p w14:paraId="2D6239FA" w14:textId="1E7D8907" w:rsidR="00295648" w:rsidRPr="004D0354" w:rsidRDefault="00295648" w:rsidP="00EC3153">
      <w:pPr>
        <w:rPr>
          <w:rFonts w:eastAsia="Arial" w:cs="Arial"/>
          <w:szCs w:val="20"/>
        </w:rPr>
      </w:pPr>
      <w:r w:rsidRPr="004D0354">
        <w:t xml:space="preserve">This dimension </w:t>
      </w:r>
      <w:r w:rsidR="008A2016" w:rsidRPr="004D0354">
        <w:t>concerns</w:t>
      </w:r>
      <w:r w:rsidRPr="004D0354">
        <w:t xml:space="preserve"> </w:t>
      </w:r>
      <w:r w:rsidR="008A2016" w:rsidRPr="004D0354">
        <w:t>g</w:t>
      </w:r>
      <w:r w:rsidRPr="004D0354">
        <w:t>ender-responsive budgeting</w:t>
      </w:r>
      <w:r w:rsidR="008A2016" w:rsidRPr="004D0354">
        <w:t>, which involves</w:t>
      </w:r>
      <w:r w:rsidRPr="004D0354">
        <w:t xml:space="preserve"> the integration of a gender perspective </w:t>
      </w:r>
      <w:r w:rsidR="008A2016" w:rsidRPr="004D0354">
        <w:t>into parliament’s scrutiny and adoption of the national budget.</w:t>
      </w:r>
    </w:p>
    <w:p w14:paraId="2C56F58D" w14:textId="77777777" w:rsidR="00295648" w:rsidRPr="004D0354" w:rsidRDefault="00295648" w:rsidP="00EC3153">
      <w:pPr>
        <w:rPr>
          <w:rFonts w:eastAsia="Arial" w:cs="Arial"/>
          <w:szCs w:val="20"/>
          <w:lang w:eastAsia="en-GB"/>
        </w:rPr>
      </w:pPr>
    </w:p>
    <w:p w14:paraId="1F16F1E0" w14:textId="1CBDB90E" w:rsidR="00295648" w:rsidRPr="004D0354" w:rsidRDefault="00036344" w:rsidP="00EC3153">
      <w:r w:rsidRPr="004D0354">
        <w:t>Gender-responsive budgeting is a practice adopted by m</w:t>
      </w:r>
      <w:r w:rsidR="00295648" w:rsidRPr="004D0354">
        <w:t xml:space="preserve">any parliaments </w:t>
      </w:r>
      <w:r w:rsidRPr="004D0354">
        <w:t xml:space="preserve">around </w:t>
      </w:r>
      <w:r w:rsidR="00295648" w:rsidRPr="004D0354">
        <w:t>the world</w:t>
      </w:r>
      <w:r w:rsidRPr="004D0354">
        <w:t xml:space="preserve">, </w:t>
      </w:r>
      <w:r w:rsidR="00295648" w:rsidRPr="004D0354">
        <w:rPr>
          <w:color w:val="000000"/>
        </w:rPr>
        <w:t>allow</w:t>
      </w:r>
      <w:r w:rsidRPr="004D0354">
        <w:rPr>
          <w:color w:val="000000"/>
        </w:rPr>
        <w:t>ing</w:t>
      </w:r>
      <w:r w:rsidR="00295648" w:rsidRPr="004D0354">
        <w:rPr>
          <w:color w:val="000000"/>
        </w:rPr>
        <w:t xml:space="preserve"> for an understanding of how and to what extent a </w:t>
      </w:r>
      <w:r w:rsidRPr="004D0354">
        <w:rPr>
          <w:color w:val="000000"/>
        </w:rPr>
        <w:t xml:space="preserve">given </w:t>
      </w:r>
      <w:r w:rsidR="00295648" w:rsidRPr="004D0354">
        <w:rPr>
          <w:color w:val="000000"/>
        </w:rPr>
        <w:t>policy affects men</w:t>
      </w:r>
      <w:r w:rsidR="00CB74EE" w:rsidRPr="004D0354">
        <w:rPr>
          <w:color w:val="000000"/>
        </w:rPr>
        <w:t xml:space="preserve"> and</w:t>
      </w:r>
      <w:r w:rsidR="00295648" w:rsidRPr="004D0354">
        <w:rPr>
          <w:color w:val="000000"/>
        </w:rPr>
        <w:t xml:space="preserve"> women.</w:t>
      </w:r>
      <w:r w:rsidRPr="004D0354">
        <w:rPr>
          <w:color w:val="000000"/>
        </w:rPr>
        <w:t xml:space="preserve"> </w:t>
      </w:r>
      <w:r w:rsidRPr="004D0354">
        <w:t>In many countries,</w:t>
      </w:r>
      <w:r w:rsidR="00295648" w:rsidRPr="004D0354">
        <w:t xml:space="preserve"> </w:t>
      </w:r>
      <w:r w:rsidRPr="004D0354">
        <w:t xml:space="preserve">the </w:t>
      </w:r>
      <w:r w:rsidR="00295648" w:rsidRPr="004D0354">
        <w:t>executive include</w:t>
      </w:r>
      <w:r w:rsidRPr="004D0354">
        <w:t>s</w:t>
      </w:r>
      <w:r w:rsidR="00295648" w:rsidRPr="004D0354">
        <w:t xml:space="preserve"> this type of analysis </w:t>
      </w:r>
      <w:r w:rsidRPr="004D0354">
        <w:t xml:space="preserve">in the draft budget </w:t>
      </w:r>
      <w:r w:rsidR="00295648" w:rsidRPr="004D0354">
        <w:t>in the form of a gender budget statement.</w:t>
      </w:r>
      <w:r w:rsidR="00CB74EE" w:rsidRPr="004D0354">
        <w:t xml:space="preserve"> </w:t>
      </w:r>
      <w:r w:rsidR="00295648" w:rsidRPr="004D0354">
        <w:t xml:space="preserve">In this way, parliament </w:t>
      </w:r>
      <w:r w:rsidR="00CB74EE" w:rsidRPr="004D0354">
        <w:t xml:space="preserve">can question budget priorities and </w:t>
      </w:r>
      <w:r w:rsidR="00295648" w:rsidRPr="004D0354">
        <w:t>scrutini</w:t>
      </w:r>
      <w:r w:rsidR="009B15A2" w:rsidRPr="004D0354">
        <w:t>z</w:t>
      </w:r>
      <w:r w:rsidR="00295648" w:rsidRPr="004D0354">
        <w:t xml:space="preserve">e the extent to which the </w:t>
      </w:r>
      <w:r w:rsidRPr="004D0354">
        <w:t xml:space="preserve">executive </w:t>
      </w:r>
      <w:r w:rsidR="00295648" w:rsidRPr="004D0354">
        <w:t xml:space="preserve">is developing policies that </w:t>
      </w:r>
      <w:r w:rsidR="00CB74EE" w:rsidRPr="004D0354">
        <w:t xml:space="preserve">promote gender </w:t>
      </w:r>
      <w:proofErr w:type="gramStart"/>
      <w:r w:rsidR="00295648" w:rsidRPr="004D0354">
        <w:t>equ</w:t>
      </w:r>
      <w:r w:rsidRPr="004D0354">
        <w:t>alit</w:t>
      </w:r>
      <w:r w:rsidR="00295648" w:rsidRPr="004D0354">
        <w:t>y, and</w:t>
      </w:r>
      <w:proofErr w:type="gramEnd"/>
      <w:r w:rsidR="00295648" w:rsidRPr="004D0354">
        <w:t xml:space="preserve"> can influence policymaking from the outset in the planning phase.</w:t>
      </w:r>
    </w:p>
    <w:p w14:paraId="0D5CBCA1" w14:textId="77777777" w:rsidR="00D226BB" w:rsidRPr="004D0354" w:rsidRDefault="00D226BB" w:rsidP="00EC3153"/>
    <w:p w14:paraId="74C52EA7" w14:textId="1B20BD84" w:rsidR="00D226BB" w:rsidRPr="004D0354" w:rsidRDefault="00D226BB" w:rsidP="00EC3153">
      <w:pPr>
        <w:rPr>
          <w:rFonts w:eastAsia="Arial" w:cs="Arial"/>
          <w:szCs w:val="20"/>
        </w:rPr>
      </w:pPr>
      <w:r w:rsidRPr="004D0354">
        <w:t xml:space="preserve">Many parliaments have a dedicated body or bodies responsible for supporting and monitoring gender-responsive budgeting across parliament, such as a parliamentary committee or subcommittee, </w:t>
      </w:r>
      <w:proofErr w:type="gramStart"/>
      <w:r w:rsidRPr="004D0354">
        <w:t>caucus</w:t>
      </w:r>
      <w:proofErr w:type="gramEnd"/>
      <w:r w:rsidRPr="004D0354">
        <w:t xml:space="preserve"> or network. </w:t>
      </w:r>
      <w:r w:rsidR="00851250" w:rsidRPr="004D0354">
        <w:t>P</w:t>
      </w:r>
      <w:r w:rsidRPr="004D0354">
        <w:t>ortfolio committees may also conduct a sectoral review of the budget from a gender perspective.</w:t>
      </w:r>
    </w:p>
    <w:p w14:paraId="4E49D512" w14:textId="77777777" w:rsidR="00295648" w:rsidRPr="004D0354" w:rsidRDefault="00295648" w:rsidP="00EC3153">
      <w:pPr>
        <w:rPr>
          <w:rFonts w:eastAsia="Arial" w:cs="Arial"/>
          <w:szCs w:val="20"/>
          <w:lang w:eastAsia="en-GB"/>
        </w:rPr>
      </w:pPr>
    </w:p>
    <w:p w14:paraId="0180044F" w14:textId="7AF25921" w:rsidR="00295648" w:rsidRPr="004D0354" w:rsidRDefault="00295648" w:rsidP="00EC3153">
      <w:pPr>
        <w:rPr>
          <w:rFonts w:eastAsia="Arial" w:cs="Arial"/>
          <w:color w:val="000000"/>
          <w:szCs w:val="20"/>
        </w:rPr>
      </w:pPr>
      <w:r w:rsidRPr="004D0354">
        <w:rPr>
          <w:color w:val="000000"/>
        </w:rPr>
        <w:t>The extent to which parliaments can adopt gender-</w:t>
      </w:r>
      <w:r w:rsidRPr="004D0354">
        <w:t>responsive</w:t>
      </w:r>
      <w:r w:rsidRPr="004D0354">
        <w:rPr>
          <w:color w:val="000000"/>
        </w:rPr>
        <w:t xml:space="preserve"> budgeting practices </w:t>
      </w:r>
      <w:proofErr w:type="gramStart"/>
      <w:r w:rsidRPr="004D0354">
        <w:rPr>
          <w:color w:val="000000"/>
        </w:rPr>
        <w:t>depends</w:t>
      </w:r>
      <w:proofErr w:type="gramEnd"/>
      <w:r w:rsidRPr="004D0354">
        <w:rPr>
          <w:color w:val="000000"/>
        </w:rPr>
        <w:t xml:space="preserve"> on </w:t>
      </w:r>
      <w:r w:rsidR="00036344" w:rsidRPr="004D0354">
        <w:rPr>
          <w:color w:val="000000"/>
        </w:rPr>
        <w:t xml:space="preserve">a number of </w:t>
      </w:r>
      <w:r w:rsidRPr="004D0354">
        <w:rPr>
          <w:color w:val="000000"/>
        </w:rPr>
        <w:t xml:space="preserve">contextual factors, </w:t>
      </w:r>
      <w:r w:rsidR="00036344" w:rsidRPr="004D0354">
        <w:rPr>
          <w:color w:val="000000"/>
        </w:rPr>
        <w:t>such as</w:t>
      </w:r>
      <w:r w:rsidRPr="004D0354">
        <w:rPr>
          <w:color w:val="000000"/>
        </w:rPr>
        <w:t xml:space="preserve"> </w:t>
      </w:r>
      <w:r w:rsidR="00036344" w:rsidRPr="004D0354">
        <w:t>the</w:t>
      </w:r>
      <w:r w:rsidRPr="004D0354">
        <w:t xml:space="preserve"> legal framework, parliament’s mandate with respect to the budget process, and the available time, capacity and resources</w:t>
      </w:r>
      <w:r w:rsidRPr="004D0354">
        <w:rPr>
          <w:color w:val="000000"/>
        </w:rPr>
        <w:t xml:space="preserve">. </w:t>
      </w:r>
    </w:p>
    <w:p w14:paraId="2A895201" w14:textId="2BAC0815" w:rsidR="00D5303D" w:rsidRPr="004D0354" w:rsidRDefault="00295648" w:rsidP="00677367">
      <w:pPr>
        <w:pStyle w:val="section-title"/>
      </w:pPr>
      <w:r w:rsidRPr="004D0354">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ook w:val="0400" w:firstRow="0" w:lastRow="0" w:firstColumn="0" w:lastColumn="0" w:noHBand="0" w:noVBand="1"/>
      </w:tblPr>
      <w:tblGrid>
        <w:gridCol w:w="8780"/>
      </w:tblGrid>
      <w:tr w:rsidR="00295648" w:rsidRPr="004D0354" w14:paraId="1DB742E0" w14:textId="77777777" w:rsidTr="008422F8">
        <w:trPr>
          <w:trHeight w:val="626"/>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6101D94" w14:textId="72D5C8FC" w:rsidR="00295648" w:rsidRPr="004D0354" w:rsidRDefault="00295648" w:rsidP="00EC3153">
            <w:pPr>
              <w:spacing w:after="160"/>
              <w:rPr>
                <w:rFonts w:eastAsia="Arial" w:cs="Arial"/>
                <w:i/>
                <w:szCs w:val="20"/>
              </w:rPr>
            </w:pPr>
            <w:r w:rsidRPr="004D0354">
              <w:rPr>
                <w:i/>
              </w:rPr>
              <w:t xml:space="preserve">Based on a global comparative analysis, an aspiring goal for parliaments </w:t>
            </w:r>
            <w:proofErr w:type="gramStart"/>
            <w:r w:rsidRPr="004D0354">
              <w:rPr>
                <w:i/>
              </w:rPr>
              <w:t>in the area of</w:t>
            </w:r>
            <w:proofErr w:type="gramEnd"/>
            <w:r w:rsidRPr="004D0354">
              <w:rPr>
                <w:i/>
              </w:rPr>
              <w:t xml:space="preserve"> </w:t>
            </w:r>
            <w:r w:rsidR="00B1448D" w:rsidRPr="004D0354">
              <w:rPr>
                <w:i/>
              </w:rPr>
              <w:t>“</w:t>
            </w:r>
            <w:r w:rsidRPr="004D0354">
              <w:rPr>
                <w:i/>
              </w:rPr>
              <w:t>gender-responsive budgeting</w:t>
            </w:r>
            <w:r w:rsidR="00B1448D" w:rsidRPr="004D0354">
              <w:rPr>
                <w:i/>
              </w:rPr>
              <w:t>”</w:t>
            </w:r>
            <w:r w:rsidRPr="004D0354">
              <w:rPr>
                <w:i/>
              </w:rPr>
              <w:t xml:space="preserve"> is as follows:</w:t>
            </w:r>
          </w:p>
          <w:p w14:paraId="0D91EB5B" w14:textId="2AE2887E" w:rsidR="00F90788" w:rsidRPr="004D0354" w:rsidRDefault="00F90788" w:rsidP="00F90788">
            <w:pPr>
              <w:spacing w:before="240"/>
            </w:pPr>
            <w:r w:rsidRPr="004D0354">
              <w:t xml:space="preserve">The legal framework requires the executive to produce a gender budget statement to accompany the draft budget. </w:t>
            </w:r>
          </w:p>
          <w:p w14:paraId="1D80E7B4" w14:textId="2C79D981" w:rsidR="00F90788" w:rsidRPr="004D0354" w:rsidRDefault="00647DE3" w:rsidP="00D5303D">
            <w:r w:rsidRPr="004D0354">
              <w:br/>
            </w:r>
            <w:r w:rsidR="00F90788" w:rsidRPr="004D0354">
              <w:t xml:space="preserve">Parliament has a dedicated body or bodies responsible for supporting gender-responsive budgeting, </w:t>
            </w:r>
            <w:r w:rsidR="008820D9" w:rsidRPr="004D0354">
              <w:t xml:space="preserve">which have </w:t>
            </w:r>
            <w:r w:rsidR="00CB74EE" w:rsidRPr="004D0354">
              <w:t>established procedures and authority to obtain supplementary information from the executive.</w:t>
            </w:r>
          </w:p>
          <w:p w14:paraId="069B2F0F" w14:textId="77777777" w:rsidR="00F90788" w:rsidRPr="004D0354" w:rsidRDefault="00F90788" w:rsidP="00D5303D"/>
          <w:p w14:paraId="0B9DE327" w14:textId="452B0582" w:rsidR="00D5303D" w:rsidRPr="004D0354" w:rsidRDefault="00F90788" w:rsidP="00D5303D">
            <w:r w:rsidRPr="004D0354">
              <w:t>Parliament has sufficient research and analysis capacity to support gender-responsive budgeting. MPs have access to training on gender-responsive budgeting</w:t>
            </w:r>
            <w:r w:rsidR="008820D9" w:rsidRPr="004D0354">
              <w:t xml:space="preserve"> and to information needed to support their work</w:t>
            </w:r>
            <w:r w:rsidRPr="004D0354">
              <w:t>.</w:t>
            </w:r>
          </w:p>
          <w:p w14:paraId="0381982A" w14:textId="3CE28140" w:rsidR="002255AE" w:rsidRPr="004D0354" w:rsidRDefault="002255AE" w:rsidP="00D5303D">
            <w:pPr>
              <w:rPr>
                <w:rFonts w:eastAsia="Arial" w:cs="Arial"/>
                <w:color w:val="005F9A"/>
                <w:szCs w:val="20"/>
                <w:lang w:eastAsia="en-GB"/>
              </w:rPr>
            </w:pPr>
          </w:p>
        </w:tc>
      </w:tr>
    </w:tbl>
    <w:p w14:paraId="38EA54C5" w14:textId="77777777" w:rsidR="00295648" w:rsidRPr="004D0354" w:rsidRDefault="00295648" w:rsidP="00677367">
      <w:pPr>
        <w:pStyle w:val="section-title"/>
      </w:pPr>
      <w:r w:rsidRPr="004D0354">
        <w:t>Assessment</w:t>
      </w:r>
    </w:p>
    <w:p w14:paraId="10C2EE20" w14:textId="50C715B8" w:rsidR="00295648" w:rsidRPr="004D0354" w:rsidRDefault="00295648" w:rsidP="00EC3153">
      <w:pPr>
        <w:spacing w:before="200"/>
        <w:rPr>
          <w:rFonts w:eastAsia="Arial" w:cs="Arial"/>
          <w:szCs w:val="20"/>
        </w:rPr>
      </w:pPr>
      <w:r w:rsidRPr="004D0354">
        <w:rPr>
          <w:color w:val="000000"/>
        </w:rPr>
        <w:t xml:space="preserve">This dimension is assessed against several criteria, each of which should be evaluated separately. For each criterion, select one of the six descriptive grades (Non-existent, Rudimentary, Basic, Good, </w:t>
      </w:r>
      <w:proofErr w:type="gramStart"/>
      <w:r w:rsidRPr="004D0354">
        <w:rPr>
          <w:color w:val="000000"/>
        </w:rPr>
        <w:t>Very</w:t>
      </w:r>
      <w:proofErr w:type="gramEnd"/>
      <w:r w:rsidRPr="004D0354">
        <w:rPr>
          <w:color w:val="000000"/>
        </w:rPr>
        <w:t xml:space="preserve"> good and Excellent) that best reflects the situation in your parliament, and provide details of the evidence on which this assessment is based.</w:t>
      </w:r>
      <w:r w:rsidRPr="004D0354">
        <w:t xml:space="preserve"> </w:t>
      </w:r>
    </w:p>
    <w:p w14:paraId="2135EBF6" w14:textId="009906DE" w:rsidR="00295648" w:rsidRPr="004D0354" w:rsidRDefault="00295648" w:rsidP="00EC3153">
      <w:pPr>
        <w:spacing w:before="200"/>
        <w:rPr>
          <w:rFonts w:eastAsia="Arial" w:cs="Arial"/>
          <w:szCs w:val="20"/>
        </w:rPr>
      </w:pPr>
      <w:r w:rsidRPr="004D0354">
        <w:t>The evidence for assessment of this dimension could include the following:</w:t>
      </w:r>
    </w:p>
    <w:p w14:paraId="300FB702" w14:textId="77777777" w:rsidR="00D5303D" w:rsidRPr="004D0354" w:rsidRDefault="00D5303D" w:rsidP="000A4BAE">
      <w:pPr>
        <w:rPr>
          <w:rFonts w:eastAsia="Arial" w:cs="Arial"/>
          <w:szCs w:val="20"/>
          <w:lang w:eastAsia="en-GB"/>
        </w:rPr>
      </w:pPr>
    </w:p>
    <w:p w14:paraId="2CAA07E5" w14:textId="56D38C59" w:rsidR="00295648" w:rsidRPr="004D0354" w:rsidRDefault="005C146C" w:rsidP="00D5303D">
      <w:pPr>
        <w:numPr>
          <w:ilvl w:val="0"/>
          <w:numId w:val="18"/>
        </w:numPr>
        <w:pBdr>
          <w:top w:val="nil"/>
          <w:left w:val="nil"/>
          <w:bottom w:val="nil"/>
          <w:right w:val="nil"/>
          <w:between w:val="nil"/>
        </w:pBdr>
        <w:ind w:left="562" w:hanging="562"/>
        <w:rPr>
          <w:rFonts w:eastAsia="Arial" w:cs="Arial"/>
          <w:color w:val="000000"/>
          <w:szCs w:val="20"/>
        </w:rPr>
      </w:pPr>
      <w:r w:rsidRPr="004D0354">
        <w:rPr>
          <w:color w:val="000000"/>
        </w:rPr>
        <w:t>Provisions of parliament’s</w:t>
      </w:r>
      <w:r w:rsidR="00295648" w:rsidRPr="004D0354">
        <w:rPr>
          <w:color w:val="000000"/>
        </w:rPr>
        <w:t xml:space="preserve"> rules of procedure establish</w:t>
      </w:r>
      <w:r w:rsidRPr="004D0354">
        <w:rPr>
          <w:color w:val="000000"/>
        </w:rPr>
        <w:t>ing</w:t>
      </w:r>
      <w:r w:rsidR="00295648" w:rsidRPr="004D0354">
        <w:rPr>
          <w:color w:val="000000"/>
        </w:rPr>
        <w:t xml:space="preserve"> </w:t>
      </w:r>
      <w:r w:rsidR="00924633" w:rsidRPr="004D0354">
        <w:rPr>
          <w:color w:val="000000"/>
        </w:rPr>
        <w:t xml:space="preserve">bodies </w:t>
      </w:r>
      <w:r w:rsidR="00295648" w:rsidRPr="004D0354">
        <w:rPr>
          <w:color w:val="000000"/>
        </w:rPr>
        <w:t>to support gender-responsive budgeting, such as</w:t>
      </w:r>
      <w:r w:rsidR="00E36AA1" w:rsidRPr="004D0354">
        <w:rPr>
          <w:color w:val="000000"/>
        </w:rPr>
        <w:t xml:space="preserve"> a</w:t>
      </w:r>
      <w:r w:rsidR="00295648" w:rsidRPr="004D0354">
        <w:rPr>
          <w:color w:val="000000"/>
        </w:rPr>
        <w:t xml:space="preserve"> gender equality committee or </w:t>
      </w:r>
      <w:proofErr w:type="gramStart"/>
      <w:r w:rsidR="00295648" w:rsidRPr="004D0354">
        <w:rPr>
          <w:color w:val="000000"/>
        </w:rPr>
        <w:t>subcommittee</w:t>
      </w:r>
      <w:proofErr w:type="gramEnd"/>
    </w:p>
    <w:p w14:paraId="11FDB9A1" w14:textId="384E68CF" w:rsidR="00295648" w:rsidRPr="004D0354" w:rsidRDefault="005C146C" w:rsidP="00D5303D">
      <w:pPr>
        <w:numPr>
          <w:ilvl w:val="0"/>
          <w:numId w:val="18"/>
        </w:numPr>
        <w:pBdr>
          <w:top w:val="nil"/>
          <w:left w:val="nil"/>
          <w:bottom w:val="nil"/>
          <w:right w:val="nil"/>
          <w:between w:val="nil"/>
        </w:pBdr>
        <w:ind w:left="562" w:hanging="562"/>
        <w:rPr>
          <w:rFonts w:eastAsia="Arial" w:cs="Arial"/>
          <w:color w:val="000000"/>
          <w:szCs w:val="20"/>
        </w:rPr>
      </w:pPr>
      <w:r w:rsidRPr="004D0354">
        <w:rPr>
          <w:color w:val="000000"/>
        </w:rPr>
        <w:t>Provisions of parliament’s rules of procedure providing</w:t>
      </w:r>
      <w:r w:rsidR="00295648" w:rsidRPr="004D0354">
        <w:rPr>
          <w:color w:val="000000"/>
        </w:rPr>
        <w:t xml:space="preserve"> opportunities for </w:t>
      </w:r>
      <w:r w:rsidRPr="004D0354">
        <w:rPr>
          <w:color w:val="000000"/>
        </w:rPr>
        <w:t xml:space="preserve">members of the </w:t>
      </w:r>
      <w:r w:rsidR="00295648" w:rsidRPr="004D0354">
        <w:rPr>
          <w:color w:val="000000"/>
        </w:rPr>
        <w:t xml:space="preserve">public and </w:t>
      </w:r>
      <w:r w:rsidRPr="004D0354">
        <w:rPr>
          <w:color w:val="000000"/>
        </w:rPr>
        <w:t xml:space="preserve">other groups and organizations to </w:t>
      </w:r>
      <w:r w:rsidR="00295648" w:rsidRPr="004D0354">
        <w:rPr>
          <w:color w:val="000000"/>
        </w:rPr>
        <w:t xml:space="preserve">engage in the budget </w:t>
      </w:r>
      <w:proofErr w:type="gramStart"/>
      <w:r w:rsidR="00295648" w:rsidRPr="004D0354">
        <w:rPr>
          <w:color w:val="000000"/>
        </w:rPr>
        <w:t>process</w:t>
      </w:r>
      <w:proofErr w:type="gramEnd"/>
    </w:p>
    <w:p w14:paraId="4DC71C5F" w14:textId="2A2B81F1" w:rsidR="00295648" w:rsidRPr="004D0354" w:rsidRDefault="00295648" w:rsidP="00D5303D">
      <w:pPr>
        <w:numPr>
          <w:ilvl w:val="0"/>
          <w:numId w:val="18"/>
        </w:numPr>
        <w:pBdr>
          <w:top w:val="nil"/>
          <w:left w:val="nil"/>
          <w:bottom w:val="nil"/>
          <w:right w:val="nil"/>
          <w:between w:val="nil"/>
        </w:pBdr>
        <w:ind w:left="562" w:hanging="562"/>
        <w:rPr>
          <w:rFonts w:eastAsia="Arial" w:cs="Arial"/>
          <w:color w:val="000000"/>
          <w:szCs w:val="20"/>
        </w:rPr>
      </w:pPr>
      <w:r w:rsidRPr="004D0354">
        <w:rPr>
          <w:color w:val="000000"/>
        </w:rPr>
        <w:t>Terms of reference of parliamentary committees or subcommittees indicat</w:t>
      </w:r>
      <w:r w:rsidR="00FE7682" w:rsidRPr="004D0354">
        <w:rPr>
          <w:color w:val="000000"/>
        </w:rPr>
        <w:t>ing</w:t>
      </w:r>
      <w:r w:rsidRPr="004D0354">
        <w:rPr>
          <w:color w:val="000000"/>
        </w:rPr>
        <w:t xml:space="preserve"> the</w:t>
      </w:r>
      <w:r w:rsidR="000B11ED" w:rsidRPr="004D0354">
        <w:rPr>
          <w:color w:val="000000"/>
        </w:rPr>
        <w:t>ir</w:t>
      </w:r>
      <w:r w:rsidRPr="004D0354">
        <w:rPr>
          <w:color w:val="000000"/>
        </w:rPr>
        <w:t xml:space="preserve"> responsibilities for gender-responsive budgeting</w:t>
      </w:r>
    </w:p>
    <w:p w14:paraId="6A983BE8" w14:textId="4F7AE37D" w:rsidR="00295648" w:rsidRPr="004D0354" w:rsidRDefault="000B11ED" w:rsidP="00D5303D">
      <w:pPr>
        <w:numPr>
          <w:ilvl w:val="0"/>
          <w:numId w:val="18"/>
        </w:numPr>
        <w:pBdr>
          <w:top w:val="nil"/>
          <w:left w:val="nil"/>
          <w:bottom w:val="nil"/>
          <w:right w:val="nil"/>
          <w:between w:val="nil"/>
        </w:pBdr>
        <w:ind w:left="562" w:hanging="562"/>
        <w:rPr>
          <w:rFonts w:eastAsia="Arial" w:cs="Arial"/>
          <w:color w:val="000000"/>
          <w:szCs w:val="20"/>
        </w:rPr>
      </w:pPr>
      <w:r w:rsidRPr="004D0354">
        <w:rPr>
          <w:color w:val="000000"/>
        </w:rPr>
        <w:lastRenderedPageBreak/>
        <w:t>S</w:t>
      </w:r>
      <w:r w:rsidR="00295648" w:rsidRPr="004D0354">
        <w:rPr>
          <w:color w:val="000000"/>
        </w:rPr>
        <w:t xml:space="preserve">ex-disaggregated data from the parliamentary </w:t>
      </w:r>
      <w:r w:rsidRPr="004D0354">
        <w:rPr>
          <w:color w:val="000000"/>
        </w:rPr>
        <w:t xml:space="preserve">administration </w:t>
      </w:r>
      <w:r w:rsidR="00295648" w:rsidRPr="004D0354">
        <w:rPr>
          <w:color w:val="000000"/>
        </w:rPr>
        <w:t>and/or from national statistic</w:t>
      </w:r>
      <w:r w:rsidRPr="004D0354">
        <w:rPr>
          <w:color w:val="000000"/>
        </w:rPr>
        <w:t>al</w:t>
      </w:r>
      <w:r w:rsidR="00295648" w:rsidRPr="004D0354">
        <w:rPr>
          <w:color w:val="000000"/>
        </w:rPr>
        <w:t xml:space="preserve"> </w:t>
      </w:r>
      <w:r w:rsidRPr="004D0354">
        <w:rPr>
          <w:color w:val="000000"/>
        </w:rPr>
        <w:t>institutes</w:t>
      </w:r>
    </w:p>
    <w:p w14:paraId="6D3F137D" w14:textId="09771F28" w:rsidR="00295648" w:rsidRPr="004D0354" w:rsidRDefault="000450D0" w:rsidP="00D5303D">
      <w:pPr>
        <w:numPr>
          <w:ilvl w:val="0"/>
          <w:numId w:val="18"/>
        </w:numPr>
        <w:pBdr>
          <w:top w:val="nil"/>
          <w:left w:val="nil"/>
          <w:bottom w:val="nil"/>
          <w:right w:val="nil"/>
          <w:between w:val="nil"/>
        </w:pBdr>
        <w:ind w:left="562" w:hanging="562"/>
        <w:rPr>
          <w:rFonts w:eastAsia="Arial" w:cs="Arial"/>
          <w:color w:val="000000"/>
          <w:szCs w:val="20"/>
        </w:rPr>
      </w:pPr>
      <w:r w:rsidRPr="004D0354">
        <w:rPr>
          <w:color w:val="000000"/>
        </w:rPr>
        <w:t>Details of</w:t>
      </w:r>
      <w:r w:rsidR="00295648" w:rsidRPr="004D0354">
        <w:rPr>
          <w:color w:val="000000"/>
        </w:rPr>
        <w:t xml:space="preserve"> training </w:t>
      </w:r>
      <w:r w:rsidRPr="004D0354">
        <w:rPr>
          <w:color w:val="000000"/>
        </w:rPr>
        <w:t>provided for</w:t>
      </w:r>
      <w:r w:rsidR="00295648" w:rsidRPr="004D0354">
        <w:rPr>
          <w:color w:val="000000"/>
        </w:rPr>
        <w:t xml:space="preserve"> MPs on gender-responsive budgeting, </w:t>
      </w:r>
      <w:r w:rsidRPr="004D0354">
        <w:rPr>
          <w:color w:val="000000"/>
        </w:rPr>
        <w:t>including</w:t>
      </w:r>
      <w:r w:rsidR="00295648" w:rsidRPr="004D0354">
        <w:rPr>
          <w:color w:val="000000"/>
        </w:rPr>
        <w:t xml:space="preserve"> training materials or reports from the parliamentary </w:t>
      </w:r>
      <w:r w:rsidRPr="004D0354">
        <w:rPr>
          <w:color w:val="000000"/>
        </w:rPr>
        <w:t xml:space="preserve">administration </w:t>
      </w:r>
      <w:r w:rsidR="00295648" w:rsidRPr="004D0354">
        <w:rPr>
          <w:color w:val="000000"/>
        </w:rPr>
        <w:t xml:space="preserve">or external </w:t>
      </w:r>
      <w:r w:rsidRPr="004D0354">
        <w:rPr>
          <w:color w:val="000000"/>
        </w:rPr>
        <w:t xml:space="preserve">sources of </w:t>
      </w:r>
      <w:proofErr w:type="gramStart"/>
      <w:r w:rsidRPr="004D0354">
        <w:rPr>
          <w:color w:val="000000"/>
        </w:rPr>
        <w:t>expertise</w:t>
      </w:r>
      <w:proofErr w:type="gramEnd"/>
      <w:r w:rsidR="00295648" w:rsidRPr="004D0354">
        <w:rPr>
          <w:color w:val="000000"/>
        </w:rPr>
        <w:t xml:space="preserve"> </w:t>
      </w:r>
    </w:p>
    <w:p w14:paraId="27DB84F1" w14:textId="799B26A7" w:rsidR="00295648" w:rsidRPr="004D0354" w:rsidRDefault="00295648" w:rsidP="00D5303D">
      <w:pPr>
        <w:numPr>
          <w:ilvl w:val="0"/>
          <w:numId w:val="18"/>
        </w:numPr>
        <w:pBdr>
          <w:top w:val="nil"/>
          <w:left w:val="nil"/>
          <w:bottom w:val="nil"/>
          <w:right w:val="nil"/>
          <w:between w:val="nil"/>
        </w:pBdr>
        <w:ind w:left="562" w:hanging="562"/>
        <w:rPr>
          <w:rFonts w:eastAsia="Arial" w:cs="Arial"/>
          <w:color w:val="000000"/>
          <w:szCs w:val="20"/>
        </w:rPr>
      </w:pPr>
      <w:r w:rsidRPr="004D0354">
        <w:rPr>
          <w:color w:val="000000"/>
        </w:rPr>
        <w:t xml:space="preserve">Formal records of </w:t>
      </w:r>
      <w:r w:rsidR="007946DA" w:rsidRPr="004D0354">
        <w:rPr>
          <w:color w:val="000000"/>
        </w:rPr>
        <w:t>standard operating procedures</w:t>
      </w:r>
      <w:r w:rsidRPr="004D0354">
        <w:rPr>
          <w:color w:val="000000"/>
        </w:rPr>
        <w:t xml:space="preserve"> </w:t>
      </w:r>
      <w:r w:rsidR="00A11244" w:rsidRPr="004D0354">
        <w:rPr>
          <w:color w:val="000000"/>
        </w:rPr>
        <w:t xml:space="preserve">for </w:t>
      </w:r>
      <w:r w:rsidR="001B7ECA" w:rsidRPr="004D0354">
        <w:rPr>
          <w:color w:val="000000"/>
        </w:rPr>
        <w:t>g</w:t>
      </w:r>
      <w:r w:rsidR="001B7ECA" w:rsidRPr="004D0354">
        <w:t>ender-responsive budgeting</w:t>
      </w:r>
      <w:r w:rsidR="000450D0" w:rsidRPr="004D0354">
        <w:rPr>
          <w:color w:val="000000"/>
        </w:rPr>
        <w:t xml:space="preserve"> in parliament</w:t>
      </w:r>
    </w:p>
    <w:p w14:paraId="65EC8803" w14:textId="77777777" w:rsidR="00D5303D" w:rsidRPr="004D0354" w:rsidRDefault="00D5303D" w:rsidP="00EC3153">
      <w:pPr>
        <w:rPr>
          <w:rFonts w:eastAsia="Arial" w:cs="Arial"/>
          <w:szCs w:val="20"/>
          <w:lang w:eastAsia="en-GB"/>
        </w:rPr>
      </w:pPr>
    </w:p>
    <w:p w14:paraId="178F3650" w14:textId="7B9EEDE4" w:rsidR="00295648" w:rsidRPr="004D0354" w:rsidRDefault="00295648" w:rsidP="00D5303D">
      <w:r w:rsidRPr="004D0354">
        <w:t>Where relevant, provide additional comments or examples that support the assessment.</w:t>
      </w:r>
    </w:p>
    <w:p w14:paraId="4173DBFB" w14:textId="77777777" w:rsidR="008820D9" w:rsidRPr="004D0354" w:rsidRDefault="008820D9" w:rsidP="00D5303D"/>
    <w:p w14:paraId="2FC2507F" w14:textId="7C113FE9" w:rsidR="00295648" w:rsidRPr="004D0354" w:rsidRDefault="00295648" w:rsidP="001030B6">
      <w:pPr>
        <w:pStyle w:val="Heading4"/>
        <w:rPr>
          <w:rFonts w:cstheme="majorBidi"/>
        </w:rPr>
      </w:pPr>
      <w:r w:rsidRPr="004D0354">
        <w:t xml:space="preserve">Assessment criterion </w:t>
      </w:r>
      <w:r w:rsidR="008820D9" w:rsidRPr="004D0354">
        <w:t>1</w:t>
      </w:r>
      <w:r w:rsidRPr="004D0354">
        <w:t xml:space="preserve">: Gender budget statement </w:t>
      </w:r>
    </w:p>
    <w:p w14:paraId="4C96EC5B" w14:textId="499D35AE" w:rsidR="00295648" w:rsidRPr="004D0354" w:rsidRDefault="00204843" w:rsidP="00EC3153">
      <w:pPr>
        <w:rPr>
          <w:rFonts w:eastAsia="Arial" w:cs="Arial"/>
          <w:szCs w:val="20"/>
        </w:rPr>
      </w:pPr>
      <w:r w:rsidRPr="004D0354">
        <w:t>The legal framework requires the executive to produce</w:t>
      </w:r>
      <w:r w:rsidR="00295648" w:rsidRPr="004D0354">
        <w:t xml:space="preserve"> a gender budget </w:t>
      </w:r>
      <w:r w:rsidRPr="004D0354">
        <w:t>statement to accompany the draft budget</w:t>
      </w:r>
      <w:r w:rsidR="00295648" w:rsidRPr="004D0354">
        <w:t xml:space="preserve">. </w:t>
      </w:r>
    </w:p>
    <w:p w14:paraId="54F63F31" w14:textId="77777777" w:rsidR="00295648" w:rsidRPr="004D0354" w:rsidRDefault="00295648" w:rsidP="00EC3153">
      <w:pPr>
        <w:rPr>
          <w:rFonts w:eastAsia="Arial" w:cs="Arial"/>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0A4BAE" w:rsidRPr="004D0354" w14:paraId="12BFC790" w14:textId="77777777" w:rsidTr="000A4BA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61E2F3" w14:textId="77777777" w:rsidR="000A4BAE" w:rsidRPr="004D0354" w:rsidRDefault="000A4BAE">
            <w:pPr>
              <w:spacing w:line="276" w:lineRule="auto"/>
              <w:jc w:val="center"/>
              <w:rPr>
                <w:rFonts w:cs="Arial"/>
                <w:szCs w:val="20"/>
              </w:rPr>
            </w:pPr>
            <w:r w:rsidRPr="004D0354">
              <w:t>Non-existent</w:t>
            </w:r>
          </w:p>
          <w:sdt>
            <w:sdtPr>
              <w:rPr>
                <w:rFonts w:eastAsia="Arimo" w:cs="Arial"/>
                <w:szCs w:val="20"/>
              </w:rPr>
              <w:id w:val="-1103560088"/>
              <w14:checkbox>
                <w14:checked w14:val="0"/>
                <w14:checkedState w14:val="2612" w14:font="MS Gothic"/>
                <w14:uncheckedState w14:val="2610" w14:font="MS Gothic"/>
              </w14:checkbox>
            </w:sdtPr>
            <w:sdtEndPr/>
            <w:sdtContent>
              <w:p w14:paraId="484C7798" w14:textId="77777777" w:rsidR="000A4BAE" w:rsidRPr="004D0354" w:rsidRDefault="000A4BAE">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94CA9A" w14:textId="77777777" w:rsidR="000A4BAE" w:rsidRPr="004D0354" w:rsidRDefault="000A4BAE">
            <w:pPr>
              <w:spacing w:line="276" w:lineRule="auto"/>
              <w:jc w:val="center"/>
              <w:rPr>
                <w:rFonts w:cs="Arial"/>
                <w:szCs w:val="20"/>
              </w:rPr>
            </w:pPr>
            <w:r w:rsidRPr="004D0354">
              <w:t xml:space="preserve">Rudimentary </w:t>
            </w:r>
          </w:p>
          <w:sdt>
            <w:sdtPr>
              <w:rPr>
                <w:rFonts w:eastAsia="Arimo" w:cs="Arial"/>
                <w:szCs w:val="20"/>
              </w:rPr>
              <w:id w:val="-1511916393"/>
              <w14:checkbox>
                <w14:checked w14:val="0"/>
                <w14:checkedState w14:val="2612" w14:font="MS Gothic"/>
                <w14:uncheckedState w14:val="2610" w14:font="MS Gothic"/>
              </w14:checkbox>
            </w:sdtPr>
            <w:sdtEndPr/>
            <w:sdtContent>
              <w:p w14:paraId="3F2D3B41" w14:textId="77777777" w:rsidR="000A4BAE" w:rsidRPr="004D0354" w:rsidRDefault="000A4BAE">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470720" w14:textId="77777777" w:rsidR="000A4BAE" w:rsidRPr="004D0354" w:rsidRDefault="000A4BAE">
            <w:pPr>
              <w:spacing w:line="276" w:lineRule="auto"/>
              <w:jc w:val="center"/>
              <w:rPr>
                <w:rFonts w:cs="Arial"/>
                <w:szCs w:val="20"/>
              </w:rPr>
            </w:pPr>
            <w:r w:rsidRPr="004D0354">
              <w:t>Basic</w:t>
            </w:r>
          </w:p>
          <w:sdt>
            <w:sdtPr>
              <w:rPr>
                <w:rFonts w:eastAsia="Arimo" w:cs="Arial"/>
                <w:szCs w:val="20"/>
              </w:rPr>
              <w:id w:val="-1985068100"/>
              <w14:checkbox>
                <w14:checked w14:val="0"/>
                <w14:checkedState w14:val="2612" w14:font="MS Gothic"/>
                <w14:uncheckedState w14:val="2610" w14:font="MS Gothic"/>
              </w14:checkbox>
            </w:sdtPr>
            <w:sdtEndPr/>
            <w:sdtContent>
              <w:p w14:paraId="50E940A6" w14:textId="77777777" w:rsidR="000A4BAE" w:rsidRPr="004D0354" w:rsidRDefault="000A4BAE">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61FAF8" w14:textId="77777777" w:rsidR="000A4BAE" w:rsidRPr="004D0354" w:rsidRDefault="000A4BAE">
            <w:pPr>
              <w:spacing w:line="276" w:lineRule="auto"/>
              <w:jc w:val="center"/>
              <w:rPr>
                <w:rFonts w:cs="Arial"/>
                <w:szCs w:val="20"/>
              </w:rPr>
            </w:pPr>
            <w:r w:rsidRPr="004D0354">
              <w:t>Good</w:t>
            </w:r>
          </w:p>
          <w:sdt>
            <w:sdtPr>
              <w:rPr>
                <w:rFonts w:eastAsia="Arimo" w:cs="Arial"/>
                <w:szCs w:val="20"/>
              </w:rPr>
              <w:id w:val="-520928537"/>
              <w14:checkbox>
                <w14:checked w14:val="0"/>
                <w14:checkedState w14:val="2612" w14:font="MS Gothic"/>
                <w14:uncheckedState w14:val="2610" w14:font="MS Gothic"/>
              </w14:checkbox>
            </w:sdtPr>
            <w:sdtEndPr/>
            <w:sdtContent>
              <w:p w14:paraId="0CE5CDB2" w14:textId="77777777" w:rsidR="000A4BAE" w:rsidRPr="004D0354" w:rsidRDefault="000A4BAE">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10D1B8" w14:textId="77777777" w:rsidR="000A4BAE" w:rsidRPr="004D0354" w:rsidRDefault="000A4BAE">
            <w:pPr>
              <w:spacing w:line="276" w:lineRule="auto"/>
              <w:jc w:val="center"/>
              <w:rPr>
                <w:rFonts w:cs="Arial"/>
                <w:szCs w:val="20"/>
              </w:rPr>
            </w:pPr>
            <w:r w:rsidRPr="004D0354">
              <w:t>Very good</w:t>
            </w:r>
          </w:p>
          <w:sdt>
            <w:sdtPr>
              <w:rPr>
                <w:rFonts w:eastAsia="Arimo" w:cs="Arial"/>
                <w:szCs w:val="20"/>
              </w:rPr>
              <w:id w:val="-336465131"/>
              <w14:checkbox>
                <w14:checked w14:val="0"/>
                <w14:checkedState w14:val="2612" w14:font="MS Gothic"/>
                <w14:uncheckedState w14:val="2610" w14:font="MS Gothic"/>
              </w14:checkbox>
            </w:sdtPr>
            <w:sdtEndPr/>
            <w:sdtContent>
              <w:p w14:paraId="0B4A788F" w14:textId="77777777" w:rsidR="000A4BAE" w:rsidRPr="004D0354" w:rsidRDefault="000A4BAE">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2FFAAF7" w14:textId="77777777" w:rsidR="000A4BAE" w:rsidRPr="004D0354" w:rsidRDefault="000A4BAE">
            <w:pPr>
              <w:spacing w:line="276" w:lineRule="auto"/>
              <w:jc w:val="center"/>
              <w:rPr>
                <w:rFonts w:cs="Arial"/>
                <w:szCs w:val="20"/>
              </w:rPr>
            </w:pPr>
            <w:r w:rsidRPr="004D0354">
              <w:t>Excellent</w:t>
            </w:r>
          </w:p>
          <w:sdt>
            <w:sdtPr>
              <w:rPr>
                <w:rFonts w:eastAsia="Arimo" w:cs="Arial"/>
                <w:szCs w:val="20"/>
              </w:rPr>
              <w:id w:val="-468981632"/>
              <w14:checkbox>
                <w14:checked w14:val="0"/>
                <w14:checkedState w14:val="2612" w14:font="MS Gothic"/>
                <w14:uncheckedState w14:val="2610" w14:font="MS Gothic"/>
              </w14:checkbox>
            </w:sdtPr>
            <w:sdtEndPr/>
            <w:sdtContent>
              <w:p w14:paraId="654E953A" w14:textId="77777777" w:rsidR="000A4BAE" w:rsidRPr="004D0354" w:rsidRDefault="000A4BAE">
                <w:pPr>
                  <w:spacing w:line="276" w:lineRule="auto"/>
                  <w:jc w:val="center"/>
                  <w:rPr>
                    <w:rFonts w:cs="Arial"/>
                    <w:szCs w:val="20"/>
                  </w:rPr>
                </w:pPr>
                <w:r w:rsidRPr="004D0354">
                  <w:rPr>
                    <w:rFonts w:ascii="MS Gothic" w:eastAsia="MS Gothic" w:hAnsi="MS Gothic" w:cs="Arial"/>
                    <w:szCs w:val="20"/>
                  </w:rPr>
                  <w:t>☐</w:t>
                </w:r>
              </w:p>
            </w:sdtContent>
          </w:sdt>
        </w:tc>
      </w:tr>
      <w:tr w:rsidR="000A4BAE" w:rsidRPr="004D0354" w14:paraId="6470D614" w14:textId="77777777" w:rsidTr="000A4BA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78B98" w14:textId="77777777" w:rsidR="000A4BAE" w:rsidRPr="004D0354" w:rsidRDefault="000A4BAE">
            <w:pPr>
              <w:spacing w:line="276" w:lineRule="auto"/>
              <w:rPr>
                <w:rFonts w:cs="Arial"/>
                <w:color w:val="005F9A"/>
                <w:szCs w:val="20"/>
              </w:rPr>
            </w:pPr>
            <w:r w:rsidRPr="004D0354">
              <w:rPr>
                <w:color w:val="005F9A"/>
              </w:rPr>
              <w:t>Evidence for this assessment criterion:</w:t>
            </w:r>
          </w:p>
          <w:p w14:paraId="53932D78" w14:textId="77777777" w:rsidR="000A4BAE" w:rsidRPr="004D0354" w:rsidRDefault="000A4BAE">
            <w:pPr>
              <w:spacing w:line="276" w:lineRule="auto"/>
              <w:rPr>
                <w:rFonts w:cs="Arial"/>
                <w:color w:val="0000FF"/>
                <w:sz w:val="18"/>
                <w:szCs w:val="18"/>
              </w:rPr>
            </w:pPr>
          </w:p>
          <w:p w14:paraId="504439F9" w14:textId="77777777" w:rsidR="000A4BAE" w:rsidRPr="004D0354" w:rsidRDefault="000A4BAE">
            <w:pPr>
              <w:spacing w:line="276" w:lineRule="auto"/>
              <w:rPr>
                <w:rFonts w:cs="Arial"/>
                <w:color w:val="0000FF"/>
                <w:sz w:val="18"/>
                <w:szCs w:val="18"/>
              </w:rPr>
            </w:pPr>
          </w:p>
        </w:tc>
      </w:tr>
    </w:tbl>
    <w:p w14:paraId="2410A246" w14:textId="74B8E392" w:rsidR="00295648" w:rsidRPr="004D0354" w:rsidRDefault="00295648" w:rsidP="001030B6">
      <w:pPr>
        <w:pStyle w:val="Heading4"/>
        <w:rPr>
          <w:rFonts w:cstheme="majorBidi"/>
        </w:rPr>
      </w:pPr>
      <w:r w:rsidRPr="004D0354">
        <w:t xml:space="preserve">Assessment criterion </w:t>
      </w:r>
      <w:r w:rsidR="008820D9" w:rsidRPr="004D0354">
        <w:t>2</w:t>
      </w:r>
      <w:r w:rsidRPr="004D0354">
        <w:t xml:space="preserve">: </w:t>
      </w:r>
      <w:r w:rsidR="00D226BB" w:rsidRPr="004D0354">
        <w:t>Dedicated body</w:t>
      </w:r>
      <w:r w:rsidRPr="004D0354">
        <w:t xml:space="preserve"> </w:t>
      </w:r>
    </w:p>
    <w:p w14:paraId="76A747F4" w14:textId="77777777" w:rsidR="008820D9" w:rsidRPr="004D0354" w:rsidRDefault="008820D9" w:rsidP="008820D9">
      <w:r w:rsidRPr="004D0354">
        <w:t>Parliament has a dedicated body or bodies responsible for supporting gender-responsive budgeting, which have established procedures and authority to obtain supplementary information from the executive.</w:t>
      </w:r>
    </w:p>
    <w:p w14:paraId="5DFD0E91" w14:textId="77777777" w:rsidR="00295648" w:rsidRPr="004D0354" w:rsidRDefault="00295648" w:rsidP="00EC3153">
      <w:pPr>
        <w:rPr>
          <w:rFonts w:eastAsia="Arial" w:cs="Arial"/>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43584A" w:rsidRPr="004D0354" w14:paraId="6378B960"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5B944E" w14:textId="77777777" w:rsidR="0043584A" w:rsidRPr="004D0354" w:rsidRDefault="0043584A">
            <w:pPr>
              <w:spacing w:line="276" w:lineRule="auto"/>
              <w:jc w:val="center"/>
              <w:rPr>
                <w:rFonts w:cs="Arial"/>
                <w:szCs w:val="20"/>
              </w:rPr>
            </w:pPr>
            <w:r w:rsidRPr="004D0354">
              <w:t>Non-existent</w:t>
            </w:r>
          </w:p>
          <w:sdt>
            <w:sdtPr>
              <w:rPr>
                <w:rFonts w:eastAsia="Arimo" w:cs="Arial"/>
                <w:szCs w:val="20"/>
              </w:rPr>
              <w:id w:val="-1532259386"/>
              <w14:checkbox>
                <w14:checked w14:val="0"/>
                <w14:checkedState w14:val="2612" w14:font="MS Gothic"/>
                <w14:uncheckedState w14:val="2610" w14:font="MS Gothic"/>
              </w14:checkbox>
            </w:sdtPr>
            <w:sdtEndPr/>
            <w:sdtContent>
              <w:p w14:paraId="24553407"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B9B327" w14:textId="77777777" w:rsidR="0043584A" w:rsidRPr="004D0354" w:rsidRDefault="0043584A">
            <w:pPr>
              <w:spacing w:line="276" w:lineRule="auto"/>
              <w:jc w:val="center"/>
              <w:rPr>
                <w:rFonts w:cs="Arial"/>
                <w:szCs w:val="20"/>
              </w:rPr>
            </w:pPr>
            <w:r w:rsidRPr="004D0354">
              <w:t xml:space="preserve">Rudimentary </w:t>
            </w:r>
          </w:p>
          <w:sdt>
            <w:sdtPr>
              <w:rPr>
                <w:rFonts w:eastAsia="Arimo" w:cs="Arial"/>
                <w:szCs w:val="20"/>
              </w:rPr>
              <w:id w:val="1990675235"/>
              <w14:checkbox>
                <w14:checked w14:val="0"/>
                <w14:checkedState w14:val="2612" w14:font="MS Gothic"/>
                <w14:uncheckedState w14:val="2610" w14:font="MS Gothic"/>
              </w14:checkbox>
            </w:sdtPr>
            <w:sdtEndPr/>
            <w:sdtContent>
              <w:p w14:paraId="361ACB5E"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F893B7" w14:textId="77777777" w:rsidR="0043584A" w:rsidRPr="004D0354" w:rsidRDefault="0043584A">
            <w:pPr>
              <w:spacing w:line="276" w:lineRule="auto"/>
              <w:jc w:val="center"/>
              <w:rPr>
                <w:rFonts w:cs="Arial"/>
                <w:szCs w:val="20"/>
              </w:rPr>
            </w:pPr>
            <w:r w:rsidRPr="004D0354">
              <w:t>Basic</w:t>
            </w:r>
          </w:p>
          <w:sdt>
            <w:sdtPr>
              <w:rPr>
                <w:rFonts w:eastAsia="Arimo" w:cs="Arial"/>
                <w:szCs w:val="20"/>
              </w:rPr>
              <w:id w:val="-698777585"/>
              <w14:checkbox>
                <w14:checked w14:val="0"/>
                <w14:checkedState w14:val="2612" w14:font="MS Gothic"/>
                <w14:uncheckedState w14:val="2610" w14:font="MS Gothic"/>
              </w14:checkbox>
            </w:sdtPr>
            <w:sdtEndPr/>
            <w:sdtContent>
              <w:p w14:paraId="2747A0A9"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EB2A52" w14:textId="77777777" w:rsidR="0043584A" w:rsidRPr="004D0354" w:rsidRDefault="0043584A">
            <w:pPr>
              <w:spacing w:line="276" w:lineRule="auto"/>
              <w:jc w:val="center"/>
              <w:rPr>
                <w:rFonts w:cs="Arial"/>
                <w:szCs w:val="20"/>
              </w:rPr>
            </w:pPr>
            <w:r w:rsidRPr="004D0354">
              <w:t>Good</w:t>
            </w:r>
          </w:p>
          <w:sdt>
            <w:sdtPr>
              <w:rPr>
                <w:rFonts w:eastAsia="Arimo" w:cs="Arial"/>
                <w:szCs w:val="20"/>
              </w:rPr>
              <w:id w:val="638394437"/>
              <w14:checkbox>
                <w14:checked w14:val="0"/>
                <w14:checkedState w14:val="2612" w14:font="MS Gothic"/>
                <w14:uncheckedState w14:val="2610" w14:font="MS Gothic"/>
              </w14:checkbox>
            </w:sdtPr>
            <w:sdtEndPr/>
            <w:sdtContent>
              <w:p w14:paraId="35C344BC"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30BBF0" w14:textId="77777777" w:rsidR="0043584A" w:rsidRPr="004D0354" w:rsidRDefault="0043584A">
            <w:pPr>
              <w:spacing w:line="276" w:lineRule="auto"/>
              <w:jc w:val="center"/>
              <w:rPr>
                <w:rFonts w:cs="Arial"/>
                <w:szCs w:val="20"/>
              </w:rPr>
            </w:pPr>
            <w:r w:rsidRPr="004D0354">
              <w:t>Very good</w:t>
            </w:r>
          </w:p>
          <w:sdt>
            <w:sdtPr>
              <w:rPr>
                <w:rFonts w:eastAsia="Arimo" w:cs="Arial"/>
                <w:szCs w:val="20"/>
              </w:rPr>
              <w:id w:val="1339042800"/>
              <w14:checkbox>
                <w14:checked w14:val="0"/>
                <w14:checkedState w14:val="2612" w14:font="MS Gothic"/>
                <w14:uncheckedState w14:val="2610" w14:font="MS Gothic"/>
              </w14:checkbox>
            </w:sdtPr>
            <w:sdtEndPr/>
            <w:sdtContent>
              <w:p w14:paraId="2BA6B64A"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5ABEF07" w14:textId="77777777" w:rsidR="0043584A" w:rsidRPr="004D0354" w:rsidRDefault="0043584A">
            <w:pPr>
              <w:spacing w:line="276" w:lineRule="auto"/>
              <w:jc w:val="center"/>
              <w:rPr>
                <w:rFonts w:cs="Arial"/>
                <w:szCs w:val="20"/>
              </w:rPr>
            </w:pPr>
            <w:r w:rsidRPr="004D0354">
              <w:t>Excellent</w:t>
            </w:r>
          </w:p>
          <w:sdt>
            <w:sdtPr>
              <w:rPr>
                <w:rFonts w:eastAsia="Arimo" w:cs="Arial"/>
                <w:szCs w:val="20"/>
              </w:rPr>
              <w:id w:val="-657688788"/>
              <w14:checkbox>
                <w14:checked w14:val="0"/>
                <w14:checkedState w14:val="2612" w14:font="MS Gothic"/>
                <w14:uncheckedState w14:val="2610" w14:font="MS Gothic"/>
              </w14:checkbox>
            </w:sdtPr>
            <w:sdtEndPr/>
            <w:sdtContent>
              <w:p w14:paraId="1FFDB796"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r>
      <w:tr w:rsidR="0043584A" w:rsidRPr="004D0354" w14:paraId="686A46F9"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C8772" w14:textId="77777777" w:rsidR="0043584A" w:rsidRPr="004D0354" w:rsidRDefault="0043584A">
            <w:pPr>
              <w:spacing w:line="276" w:lineRule="auto"/>
              <w:rPr>
                <w:rFonts w:cs="Arial"/>
                <w:color w:val="005F9A"/>
                <w:szCs w:val="20"/>
              </w:rPr>
            </w:pPr>
            <w:r w:rsidRPr="004D0354">
              <w:rPr>
                <w:color w:val="005F9A"/>
              </w:rPr>
              <w:t>Evidence for this assessment criterion:</w:t>
            </w:r>
          </w:p>
          <w:p w14:paraId="4394E5A6" w14:textId="77777777" w:rsidR="0043584A" w:rsidRPr="004D0354" w:rsidRDefault="0043584A">
            <w:pPr>
              <w:spacing w:line="276" w:lineRule="auto"/>
              <w:rPr>
                <w:rFonts w:cs="Arial"/>
                <w:color w:val="0000FF"/>
                <w:sz w:val="18"/>
                <w:szCs w:val="18"/>
              </w:rPr>
            </w:pPr>
          </w:p>
          <w:p w14:paraId="423AE4DA" w14:textId="77777777" w:rsidR="0043584A" w:rsidRPr="004D0354" w:rsidRDefault="0043584A">
            <w:pPr>
              <w:spacing w:line="276" w:lineRule="auto"/>
              <w:rPr>
                <w:rFonts w:cs="Arial"/>
                <w:color w:val="0000FF"/>
                <w:sz w:val="18"/>
                <w:szCs w:val="18"/>
              </w:rPr>
            </w:pPr>
          </w:p>
        </w:tc>
      </w:tr>
    </w:tbl>
    <w:p w14:paraId="45F0DC0F" w14:textId="4060D5B6" w:rsidR="00295648" w:rsidRPr="004D0354" w:rsidRDefault="00295648" w:rsidP="001030B6">
      <w:pPr>
        <w:pStyle w:val="Heading4"/>
      </w:pPr>
      <w:r w:rsidRPr="004D0354">
        <w:t xml:space="preserve">Assessment criterion </w:t>
      </w:r>
      <w:r w:rsidR="008820D9" w:rsidRPr="004D0354">
        <w:t>3</w:t>
      </w:r>
      <w:r w:rsidRPr="004D0354">
        <w:t xml:space="preserve">: </w:t>
      </w:r>
      <w:r w:rsidR="008820D9" w:rsidRPr="004D0354">
        <w:t>Resources</w:t>
      </w:r>
      <w:r w:rsidRPr="004D0354">
        <w:t xml:space="preserve"> </w:t>
      </w:r>
    </w:p>
    <w:p w14:paraId="4621329B" w14:textId="77777777" w:rsidR="008820D9" w:rsidRPr="004D0354" w:rsidRDefault="008820D9" w:rsidP="008820D9">
      <w:r w:rsidRPr="004D0354">
        <w:t>Parliament has sufficient research and analysis capacity to support gender-responsive budgeting. MPs have access to training on gender-responsive budgeting and to information needed to support their work.</w:t>
      </w:r>
    </w:p>
    <w:p w14:paraId="0C574AA1" w14:textId="77777777" w:rsidR="00295648" w:rsidRPr="004D0354" w:rsidRDefault="00295648" w:rsidP="00EC3153">
      <w:pPr>
        <w:rPr>
          <w:rFonts w:eastAsia="Arial" w:cs="Arial"/>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43584A" w:rsidRPr="004D0354" w14:paraId="605C274C"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BD4A35" w14:textId="77777777" w:rsidR="0043584A" w:rsidRPr="004D0354" w:rsidRDefault="0043584A">
            <w:pPr>
              <w:spacing w:line="276" w:lineRule="auto"/>
              <w:jc w:val="center"/>
              <w:rPr>
                <w:rFonts w:cs="Arial"/>
                <w:szCs w:val="20"/>
              </w:rPr>
            </w:pPr>
            <w:r w:rsidRPr="004D0354">
              <w:t>Non-existent</w:t>
            </w:r>
          </w:p>
          <w:sdt>
            <w:sdtPr>
              <w:rPr>
                <w:rFonts w:eastAsia="Arimo" w:cs="Arial"/>
                <w:szCs w:val="20"/>
              </w:rPr>
              <w:id w:val="-434746881"/>
              <w14:checkbox>
                <w14:checked w14:val="0"/>
                <w14:checkedState w14:val="2612" w14:font="MS Gothic"/>
                <w14:uncheckedState w14:val="2610" w14:font="MS Gothic"/>
              </w14:checkbox>
            </w:sdtPr>
            <w:sdtEndPr/>
            <w:sdtContent>
              <w:p w14:paraId="23D492B8"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0D70EA" w14:textId="77777777" w:rsidR="0043584A" w:rsidRPr="004D0354" w:rsidRDefault="0043584A">
            <w:pPr>
              <w:spacing w:line="276" w:lineRule="auto"/>
              <w:jc w:val="center"/>
              <w:rPr>
                <w:rFonts w:cs="Arial"/>
                <w:szCs w:val="20"/>
              </w:rPr>
            </w:pPr>
            <w:r w:rsidRPr="004D0354">
              <w:t xml:space="preserve">Rudimentary </w:t>
            </w:r>
          </w:p>
          <w:sdt>
            <w:sdtPr>
              <w:rPr>
                <w:rFonts w:eastAsia="Arimo" w:cs="Arial"/>
                <w:szCs w:val="20"/>
              </w:rPr>
              <w:id w:val="140936449"/>
              <w14:checkbox>
                <w14:checked w14:val="0"/>
                <w14:checkedState w14:val="2612" w14:font="MS Gothic"/>
                <w14:uncheckedState w14:val="2610" w14:font="MS Gothic"/>
              </w14:checkbox>
            </w:sdtPr>
            <w:sdtEndPr/>
            <w:sdtContent>
              <w:p w14:paraId="77B19333"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6915B1" w14:textId="77777777" w:rsidR="0043584A" w:rsidRPr="004D0354" w:rsidRDefault="0043584A">
            <w:pPr>
              <w:spacing w:line="276" w:lineRule="auto"/>
              <w:jc w:val="center"/>
              <w:rPr>
                <w:rFonts w:cs="Arial"/>
                <w:szCs w:val="20"/>
              </w:rPr>
            </w:pPr>
            <w:r w:rsidRPr="004D0354">
              <w:t>Basic</w:t>
            </w:r>
          </w:p>
          <w:sdt>
            <w:sdtPr>
              <w:rPr>
                <w:rFonts w:eastAsia="Arimo" w:cs="Arial"/>
                <w:szCs w:val="20"/>
              </w:rPr>
              <w:id w:val="-494104995"/>
              <w14:checkbox>
                <w14:checked w14:val="0"/>
                <w14:checkedState w14:val="2612" w14:font="MS Gothic"/>
                <w14:uncheckedState w14:val="2610" w14:font="MS Gothic"/>
              </w14:checkbox>
            </w:sdtPr>
            <w:sdtEndPr/>
            <w:sdtContent>
              <w:p w14:paraId="44722568"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11D53B" w14:textId="77777777" w:rsidR="0043584A" w:rsidRPr="004D0354" w:rsidRDefault="0043584A">
            <w:pPr>
              <w:spacing w:line="276" w:lineRule="auto"/>
              <w:jc w:val="center"/>
              <w:rPr>
                <w:rFonts w:cs="Arial"/>
                <w:szCs w:val="20"/>
              </w:rPr>
            </w:pPr>
            <w:r w:rsidRPr="004D0354">
              <w:t>Good</w:t>
            </w:r>
          </w:p>
          <w:sdt>
            <w:sdtPr>
              <w:rPr>
                <w:rFonts w:eastAsia="Arimo" w:cs="Arial"/>
                <w:szCs w:val="20"/>
              </w:rPr>
              <w:id w:val="-407240983"/>
              <w14:checkbox>
                <w14:checked w14:val="0"/>
                <w14:checkedState w14:val="2612" w14:font="MS Gothic"/>
                <w14:uncheckedState w14:val="2610" w14:font="MS Gothic"/>
              </w14:checkbox>
            </w:sdtPr>
            <w:sdtEndPr/>
            <w:sdtContent>
              <w:p w14:paraId="492E1917"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856D56" w14:textId="77777777" w:rsidR="0043584A" w:rsidRPr="004D0354" w:rsidRDefault="0043584A">
            <w:pPr>
              <w:spacing w:line="276" w:lineRule="auto"/>
              <w:jc w:val="center"/>
              <w:rPr>
                <w:rFonts w:cs="Arial"/>
                <w:szCs w:val="20"/>
              </w:rPr>
            </w:pPr>
            <w:r w:rsidRPr="004D0354">
              <w:t>Very good</w:t>
            </w:r>
          </w:p>
          <w:sdt>
            <w:sdtPr>
              <w:rPr>
                <w:rFonts w:eastAsia="Arimo" w:cs="Arial"/>
                <w:szCs w:val="20"/>
              </w:rPr>
              <w:id w:val="-1631932241"/>
              <w14:checkbox>
                <w14:checked w14:val="0"/>
                <w14:checkedState w14:val="2612" w14:font="MS Gothic"/>
                <w14:uncheckedState w14:val="2610" w14:font="MS Gothic"/>
              </w14:checkbox>
            </w:sdtPr>
            <w:sdtEndPr/>
            <w:sdtContent>
              <w:p w14:paraId="01C037E4"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62CC96B" w14:textId="77777777" w:rsidR="0043584A" w:rsidRPr="004D0354" w:rsidRDefault="0043584A">
            <w:pPr>
              <w:spacing w:line="276" w:lineRule="auto"/>
              <w:jc w:val="center"/>
              <w:rPr>
                <w:rFonts w:cs="Arial"/>
                <w:szCs w:val="20"/>
              </w:rPr>
            </w:pPr>
            <w:r w:rsidRPr="004D0354">
              <w:t>Excellent</w:t>
            </w:r>
          </w:p>
          <w:sdt>
            <w:sdtPr>
              <w:rPr>
                <w:rFonts w:eastAsia="Arimo" w:cs="Arial"/>
                <w:szCs w:val="20"/>
              </w:rPr>
              <w:id w:val="-1658608811"/>
              <w14:checkbox>
                <w14:checked w14:val="0"/>
                <w14:checkedState w14:val="2612" w14:font="MS Gothic"/>
                <w14:uncheckedState w14:val="2610" w14:font="MS Gothic"/>
              </w14:checkbox>
            </w:sdtPr>
            <w:sdtEndPr/>
            <w:sdtContent>
              <w:p w14:paraId="3F37F26D"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r>
      <w:tr w:rsidR="0043584A" w:rsidRPr="004D0354" w14:paraId="09FCC667"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C776F" w14:textId="77777777" w:rsidR="0043584A" w:rsidRPr="004D0354" w:rsidRDefault="0043584A">
            <w:pPr>
              <w:spacing w:line="276" w:lineRule="auto"/>
              <w:rPr>
                <w:rFonts w:cs="Arial"/>
                <w:color w:val="005F9A"/>
                <w:szCs w:val="20"/>
              </w:rPr>
            </w:pPr>
            <w:r w:rsidRPr="004D0354">
              <w:rPr>
                <w:color w:val="005F9A"/>
              </w:rPr>
              <w:t>Evidence for this assessment criterion:</w:t>
            </w:r>
          </w:p>
          <w:p w14:paraId="585EBB95" w14:textId="77777777" w:rsidR="0043584A" w:rsidRPr="004D0354" w:rsidRDefault="0043584A">
            <w:pPr>
              <w:spacing w:line="276" w:lineRule="auto"/>
              <w:rPr>
                <w:rFonts w:cs="Arial"/>
                <w:color w:val="0000FF"/>
                <w:sz w:val="18"/>
                <w:szCs w:val="18"/>
              </w:rPr>
            </w:pPr>
          </w:p>
          <w:p w14:paraId="454F304D" w14:textId="77777777" w:rsidR="0043584A" w:rsidRPr="004D0354" w:rsidRDefault="0043584A">
            <w:pPr>
              <w:spacing w:line="276" w:lineRule="auto"/>
              <w:rPr>
                <w:rFonts w:cs="Arial"/>
                <w:color w:val="0000FF"/>
                <w:sz w:val="18"/>
                <w:szCs w:val="18"/>
              </w:rPr>
            </w:pPr>
          </w:p>
        </w:tc>
      </w:tr>
    </w:tbl>
    <w:p w14:paraId="69716B77" w14:textId="694D1835" w:rsidR="0043584A" w:rsidRPr="004D0354" w:rsidRDefault="0043584A" w:rsidP="00677367">
      <w:pPr>
        <w:pStyle w:val="section-title"/>
      </w:pPr>
      <w:r w:rsidRPr="004D0354">
        <w:t>Recommendations for change</w:t>
      </w:r>
    </w:p>
    <w:tbl>
      <w:tblPr>
        <w:tblStyle w:val="TableGrid"/>
        <w:tblW w:w="5000" w:type="pct"/>
        <w:tblCellMar>
          <w:left w:w="115" w:type="dxa"/>
          <w:right w:w="115" w:type="dxa"/>
        </w:tblCellMar>
        <w:tblLook w:val="04A0" w:firstRow="1" w:lastRow="0" w:firstColumn="1" w:lastColumn="0" w:noHBand="0" w:noVBand="1"/>
      </w:tblPr>
      <w:tblGrid>
        <w:gridCol w:w="8780"/>
      </w:tblGrid>
      <w:tr w:rsidR="0043584A" w:rsidRPr="004D0354" w14:paraId="629C27C6" w14:textId="77777777" w:rsidTr="0043584A">
        <w:trPr>
          <w:trHeight w:val="1440"/>
        </w:trPr>
        <w:tc>
          <w:tcPr>
            <w:tcW w:w="5000" w:type="pct"/>
            <w:tcBorders>
              <w:top w:val="single" w:sz="4" w:space="0" w:color="auto"/>
              <w:left w:val="single" w:sz="4" w:space="0" w:color="auto"/>
              <w:bottom w:val="single" w:sz="4" w:space="0" w:color="auto"/>
              <w:right w:val="single" w:sz="4" w:space="0" w:color="auto"/>
            </w:tcBorders>
          </w:tcPr>
          <w:p w14:paraId="3F34AB4B" w14:textId="32C2DE39" w:rsidR="0043584A" w:rsidRPr="004D0354" w:rsidRDefault="007D26BB" w:rsidP="007D26BB">
            <w:pPr>
              <w:rPr>
                <w:szCs w:val="20"/>
              </w:rPr>
            </w:pPr>
            <w:r w:rsidRPr="004D0354">
              <w:rPr>
                <w:i/>
                <w:shd w:val="clear" w:color="auto" w:fill="FFFFFF"/>
              </w:rPr>
              <w:t>Use this space to note down recommendations and ideas for strengthening rules and practice in this area.</w:t>
            </w:r>
          </w:p>
        </w:tc>
      </w:tr>
    </w:tbl>
    <w:p w14:paraId="184A4109" w14:textId="77777777" w:rsidR="0043584A" w:rsidRPr="004D0354" w:rsidRDefault="0043584A" w:rsidP="00EC3153">
      <w:pPr>
        <w:rPr>
          <w:b/>
        </w:rPr>
      </w:pPr>
    </w:p>
    <w:p w14:paraId="092110C4" w14:textId="78D403E0" w:rsidR="0043584A" w:rsidRPr="004D0354" w:rsidRDefault="0043584A" w:rsidP="00677367">
      <w:pPr>
        <w:pStyle w:val="section-title"/>
      </w:pPr>
      <w:r w:rsidRPr="004D0354">
        <w:lastRenderedPageBreak/>
        <w:t xml:space="preserve">Sources </w:t>
      </w:r>
      <w:r w:rsidR="009A142C" w:rsidRPr="004D0354">
        <w:t xml:space="preserve">and </w:t>
      </w:r>
      <w:r w:rsidRPr="004D0354">
        <w:t>further reading</w:t>
      </w:r>
    </w:p>
    <w:p w14:paraId="2E30DD26" w14:textId="77777777" w:rsidR="00813F52" w:rsidRPr="004D0354" w:rsidRDefault="00813F52" w:rsidP="00813F52">
      <w:pPr>
        <w:numPr>
          <w:ilvl w:val="0"/>
          <w:numId w:val="13"/>
        </w:numPr>
        <w:pBdr>
          <w:top w:val="nil"/>
          <w:left w:val="nil"/>
          <w:bottom w:val="nil"/>
          <w:right w:val="nil"/>
          <w:between w:val="nil"/>
        </w:pBdr>
        <w:ind w:left="562" w:hanging="562"/>
        <w:rPr>
          <w:rFonts w:eastAsia="Arial" w:cs="Arial"/>
          <w:color w:val="000000"/>
          <w:szCs w:val="20"/>
        </w:rPr>
      </w:pPr>
      <w:bookmarkStart w:id="10" w:name="_Hlk147308289"/>
      <w:r w:rsidRPr="004D0354">
        <w:rPr>
          <w:color w:val="000000"/>
        </w:rPr>
        <w:t xml:space="preserve">Elisabete Azevedo-Harman and Ricardo Godinho Gomes, </w:t>
      </w:r>
      <w:hyperlink r:id="rId26">
        <w:r w:rsidRPr="004D0354">
          <w:rPr>
            <w:i/>
            <w:color w:val="1155CC"/>
            <w:u w:val="single"/>
          </w:rPr>
          <w:t>Post-Legislative Scrutiny of the Law against Gender-Based Violence:</w:t>
        </w:r>
      </w:hyperlink>
      <w:hyperlink r:id="rId27">
        <w:r w:rsidRPr="004D0354">
          <w:rPr>
            <w:i/>
            <w:color w:val="1155CC"/>
            <w:u w:val="single"/>
          </w:rPr>
          <w:t xml:space="preserve"> The Successful Story of the Cabo Verde Parliament</w:t>
        </w:r>
      </w:hyperlink>
      <w:r w:rsidRPr="004D0354">
        <w:rPr>
          <w:color w:val="000000"/>
        </w:rPr>
        <w:t xml:space="preserve"> (2019).</w:t>
      </w:r>
    </w:p>
    <w:p w14:paraId="16446662" w14:textId="78A59A0A" w:rsidR="00295648" w:rsidRPr="004D0354" w:rsidRDefault="00295648" w:rsidP="0043584A">
      <w:pPr>
        <w:numPr>
          <w:ilvl w:val="0"/>
          <w:numId w:val="13"/>
        </w:numPr>
        <w:pBdr>
          <w:top w:val="nil"/>
          <w:left w:val="nil"/>
          <w:bottom w:val="nil"/>
          <w:right w:val="nil"/>
          <w:between w:val="nil"/>
        </w:pBdr>
        <w:ind w:left="562" w:hanging="562"/>
        <w:rPr>
          <w:rFonts w:eastAsia="Arial" w:cs="Arial"/>
          <w:color w:val="000000"/>
          <w:szCs w:val="20"/>
          <w:lang w:val="de-CH"/>
        </w:rPr>
      </w:pPr>
      <w:r w:rsidRPr="004D0354">
        <w:rPr>
          <w:color w:val="000000"/>
          <w:lang w:val="de-CH"/>
        </w:rPr>
        <w:t xml:space="preserve">Deutsche Gesellschaft </w:t>
      </w:r>
      <w:proofErr w:type="spellStart"/>
      <w:r w:rsidRPr="004D0354">
        <w:rPr>
          <w:color w:val="000000"/>
          <w:lang w:val="de-CH"/>
        </w:rPr>
        <w:t>für</w:t>
      </w:r>
      <w:proofErr w:type="spellEnd"/>
      <w:r w:rsidRPr="004D0354">
        <w:rPr>
          <w:color w:val="000000"/>
          <w:lang w:val="de-CH"/>
        </w:rPr>
        <w:t xml:space="preserve"> Technische Zusammenarbeit (GTZ), </w:t>
      </w:r>
      <w:hyperlink r:id="rId28">
        <w:r w:rsidRPr="004D0354">
          <w:rPr>
            <w:i/>
            <w:color w:val="1155CC"/>
            <w:u w:val="single"/>
            <w:lang w:val="de-CH"/>
          </w:rPr>
          <w:t xml:space="preserve">Manual </w:t>
        </w:r>
        <w:proofErr w:type="spellStart"/>
        <w:r w:rsidRPr="004D0354">
          <w:rPr>
            <w:i/>
            <w:color w:val="1155CC"/>
            <w:u w:val="single"/>
            <w:lang w:val="de-CH"/>
          </w:rPr>
          <w:t>for</w:t>
        </w:r>
        <w:proofErr w:type="spellEnd"/>
        <w:r w:rsidRPr="004D0354">
          <w:rPr>
            <w:i/>
            <w:color w:val="1155CC"/>
            <w:u w:val="single"/>
            <w:lang w:val="de-CH"/>
          </w:rPr>
          <w:t xml:space="preserve"> Training on Gender Responsive Budgeting</w:t>
        </w:r>
      </w:hyperlink>
      <w:r w:rsidRPr="004D0354">
        <w:rPr>
          <w:color w:val="000000"/>
          <w:lang w:val="de-CH"/>
        </w:rPr>
        <w:t xml:space="preserve"> (2006).</w:t>
      </w:r>
    </w:p>
    <w:p w14:paraId="59187173" w14:textId="0413609B" w:rsidR="00295648" w:rsidRPr="004D0354" w:rsidRDefault="00295648" w:rsidP="0043584A">
      <w:pPr>
        <w:numPr>
          <w:ilvl w:val="0"/>
          <w:numId w:val="13"/>
        </w:numPr>
        <w:pBdr>
          <w:top w:val="nil"/>
          <w:left w:val="nil"/>
          <w:bottom w:val="nil"/>
          <w:right w:val="nil"/>
          <w:between w:val="nil"/>
        </w:pBdr>
        <w:ind w:left="562" w:hanging="562"/>
        <w:rPr>
          <w:rFonts w:eastAsia="Arial" w:cs="Arial"/>
          <w:color w:val="000000"/>
          <w:szCs w:val="20"/>
        </w:rPr>
      </w:pPr>
      <w:r w:rsidRPr="004D0354">
        <w:rPr>
          <w:color w:val="000000"/>
        </w:rPr>
        <w:t xml:space="preserve">International Monetary Fund (IMF), </w:t>
      </w:r>
      <w:hyperlink r:id="rId29">
        <w:r w:rsidRPr="004D0354">
          <w:rPr>
            <w:i/>
            <w:color w:val="1155CC"/>
            <w:u w:val="single"/>
          </w:rPr>
          <w:t>Europe:</w:t>
        </w:r>
      </w:hyperlink>
      <w:hyperlink r:id="rId30">
        <w:r w:rsidRPr="004D0354">
          <w:rPr>
            <w:i/>
            <w:color w:val="1155CC"/>
            <w:u w:val="single"/>
          </w:rPr>
          <w:t xml:space="preserve"> A Survey of Gender Budgeting Efforts</w:t>
        </w:r>
      </w:hyperlink>
      <w:r w:rsidRPr="004D0354">
        <w:rPr>
          <w:color w:val="000000"/>
        </w:rPr>
        <w:t xml:space="preserve"> (2016).</w:t>
      </w:r>
    </w:p>
    <w:p w14:paraId="19C53D4B" w14:textId="6E960008" w:rsidR="00295648" w:rsidRPr="004D0354" w:rsidRDefault="009C3128" w:rsidP="0043584A">
      <w:pPr>
        <w:numPr>
          <w:ilvl w:val="0"/>
          <w:numId w:val="13"/>
        </w:numPr>
        <w:pBdr>
          <w:top w:val="nil"/>
          <w:left w:val="nil"/>
          <w:bottom w:val="nil"/>
          <w:right w:val="nil"/>
          <w:between w:val="nil"/>
        </w:pBdr>
        <w:ind w:left="562" w:hanging="562"/>
        <w:rPr>
          <w:rFonts w:eastAsia="Arial" w:cs="Arial"/>
          <w:color w:val="000000"/>
          <w:szCs w:val="20"/>
        </w:rPr>
      </w:pPr>
      <w:r w:rsidRPr="004D0354">
        <w:rPr>
          <w:color w:val="000000"/>
        </w:rPr>
        <w:t>Inter-Parliamentary Union (IPU) and others,</w:t>
      </w:r>
      <w:r w:rsidR="00295648" w:rsidRPr="004D0354">
        <w:rPr>
          <w:color w:val="000000"/>
        </w:rPr>
        <w:t xml:space="preserve"> </w:t>
      </w:r>
      <w:hyperlink r:id="rId31">
        <w:r w:rsidR="00295648" w:rsidRPr="004D0354">
          <w:rPr>
            <w:i/>
            <w:color w:val="1155CC"/>
            <w:u w:val="single"/>
          </w:rPr>
          <w:t>Parliament, the Budget and Gende</w:t>
        </w:r>
        <w:r w:rsidRPr="004D0354">
          <w:rPr>
            <w:i/>
            <w:color w:val="1155CC"/>
            <w:u w:val="single"/>
          </w:rPr>
          <w:t>r: Handbook for Parliamentarians No. 6</w:t>
        </w:r>
      </w:hyperlink>
      <w:r w:rsidR="00295648" w:rsidRPr="004D0354">
        <w:rPr>
          <w:color w:val="000000"/>
        </w:rPr>
        <w:t xml:space="preserve"> (2004).</w:t>
      </w:r>
    </w:p>
    <w:p w14:paraId="23D531AE" w14:textId="2BFA8262" w:rsidR="00A84106" w:rsidRPr="004D0354" w:rsidRDefault="00B70655" w:rsidP="00A84106">
      <w:pPr>
        <w:numPr>
          <w:ilvl w:val="0"/>
          <w:numId w:val="13"/>
        </w:numPr>
        <w:pBdr>
          <w:top w:val="nil"/>
          <w:left w:val="nil"/>
          <w:bottom w:val="nil"/>
          <w:right w:val="nil"/>
          <w:between w:val="nil"/>
        </w:pBdr>
        <w:ind w:left="562" w:hanging="562"/>
        <w:rPr>
          <w:rFonts w:eastAsia="Arial" w:cs="Arial"/>
          <w:color w:val="000000"/>
          <w:szCs w:val="20"/>
        </w:rPr>
      </w:pPr>
      <w:r w:rsidRPr="004D0354">
        <w:rPr>
          <w:color w:val="000000"/>
        </w:rPr>
        <w:t xml:space="preserve">Organisation for Economic Co-operation and Development (OECD), </w:t>
      </w:r>
      <w:hyperlink r:id="rId32" w:history="1">
        <w:r w:rsidRPr="004D0354">
          <w:rPr>
            <w:rStyle w:val="Hyperlink"/>
            <w:i/>
            <w:iCs/>
            <w:sz w:val="16"/>
          </w:rPr>
          <w:t>Gender Budgeting in OECD countries</w:t>
        </w:r>
      </w:hyperlink>
      <w:r w:rsidRPr="004D0354">
        <w:rPr>
          <w:color w:val="000000"/>
        </w:rPr>
        <w:t xml:space="preserve"> (2017).</w:t>
      </w:r>
    </w:p>
    <w:p w14:paraId="194FB999" w14:textId="77777777" w:rsidR="00A84106" w:rsidRPr="004D0354" w:rsidRDefault="00A84106" w:rsidP="00A84106">
      <w:pPr>
        <w:numPr>
          <w:ilvl w:val="0"/>
          <w:numId w:val="13"/>
        </w:numPr>
        <w:pBdr>
          <w:top w:val="nil"/>
          <w:left w:val="nil"/>
          <w:bottom w:val="nil"/>
          <w:right w:val="nil"/>
          <w:between w:val="nil"/>
        </w:pBdr>
        <w:ind w:left="562" w:hanging="562"/>
        <w:rPr>
          <w:rFonts w:eastAsia="Arial" w:cs="Arial"/>
          <w:color w:val="000000"/>
          <w:szCs w:val="20"/>
        </w:rPr>
      </w:pPr>
      <w:r w:rsidRPr="004D0354">
        <w:rPr>
          <w:color w:val="000000"/>
        </w:rPr>
        <w:t xml:space="preserve">UN Women, </w:t>
      </w:r>
      <w:hyperlink r:id="rId33">
        <w:r w:rsidRPr="004D0354">
          <w:rPr>
            <w:i/>
            <w:color w:val="1155CC"/>
            <w:u w:val="single"/>
          </w:rPr>
          <w:t>Gender-Responsive Budgeting:</w:t>
        </w:r>
      </w:hyperlink>
      <w:hyperlink r:id="rId34">
        <w:r w:rsidRPr="004D0354">
          <w:rPr>
            <w:i/>
            <w:color w:val="1155CC"/>
            <w:u w:val="single"/>
          </w:rPr>
          <w:t xml:space="preserve"> Analysis of Budget Programmes from Gender Perspective</w:t>
        </w:r>
      </w:hyperlink>
      <w:r w:rsidRPr="004D0354">
        <w:rPr>
          <w:color w:val="000000"/>
        </w:rPr>
        <w:t xml:space="preserve"> (2016).</w:t>
      </w:r>
    </w:p>
    <w:bookmarkEnd w:id="10"/>
    <w:p w14:paraId="259EA30E" w14:textId="77777777" w:rsidR="00295648" w:rsidRPr="004D0354" w:rsidRDefault="00295648" w:rsidP="004D0354">
      <w:pPr>
        <w:pBdr>
          <w:top w:val="nil"/>
          <w:left w:val="nil"/>
          <w:bottom w:val="nil"/>
          <w:right w:val="nil"/>
          <w:between w:val="nil"/>
        </w:pBdr>
        <w:rPr>
          <w:rFonts w:eastAsia="Arial" w:cs="Arial"/>
          <w:color w:val="000000"/>
          <w:szCs w:val="20"/>
          <w:lang w:eastAsia="en-GB"/>
        </w:rPr>
      </w:pPr>
    </w:p>
    <w:p w14:paraId="51E213F8" w14:textId="77777777" w:rsidR="00295648" w:rsidRPr="004D0354" w:rsidRDefault="00295648" w:rsidP="00295648">
      <w:pPr>
        <w:spacing w:line="276" w:lineRule="auto"/>
        <w:rPr>
          <w:rFonts w:eastAsia="Arial" w:cs="Arial"/>
          <w:color w:val="0070C0"/>
          <w:szCs w:val="20"/>
          <w:lang w:eastAsia="en-GB"/>
        </w:rPr>
      </w:pPr>
    </w:p>
    <w:p w14:paraId="692500A9" w14:textId="77777777" w:rsidR="00295648" w:rsidRPr="004D0354" w:rsidRDefault="00295648" w:rsidP="00295648">
      <w:pPr>
        <w:spacing w:line="276" w:lineRule="auto"/>
        <w:rPr>
          <w:rFonts w:eastAsia="Arial" w:cs="Arial"/>
          <w:color w:val="0070C0"/>
          <w:szCs w:val="20"/>
          <w:lang w:eastAsia="en-GB"/>
        </w:rPr>
      </w:pPr>
    </w:p>
    <w:p w14:paraId="4B973EFE" w14:textId="77777777" w:rsidR="00295648" w:rsidRPr="004D0354" w:rsidRDefault="00295648" w:rsidP="00295648">
      <w:pPr>
        <w:spacing w:line="276" w:lineRule="auto"/>
        <w:rPr>
          <w:rFonts w:eastAsia="Arial" w:cs="Arial"/>
          <w:color w:val="0070C0"/>
          <w:szCs w:val="20"/>
          <w:lang w:eastAsia="en-GB"/>
        </w:rPr>
      </w:pPr>
    </w:p>
    <w:p w14:paraId="045869D3" w14:textId="2D57EF74" w:rsidR="00295648" w:rsidRPr="004D0354" w:rsidRDefault="007E5D1E" w:rsidP="002B4148">
      <w:pPr>
        <w:pStyle w:val="Heading3"/>
      </w:pPr>
      <w:r w:rsidRPr="004D0354">
        <w:lastRenderedPageBreak/>
        <w:t>Dimension 5.1.5: Youth inclusion</w:t>
      </w:r>
    </w:p>
    <w:tbl>
      <w:tblPr>
        <w:tblStyle w:val="TableGrid"/>
        <w:tblW w:w="0" w:type="auto"/>
        <w:shd w:val="clear" w:color="auto" w:fill="EEEEEE"/>
        <w:tblLook w:val="04A0" w:firstRow="1" w:lastRow="0" w:firstColumn="1" w:lastColumn="0" w:noHBand="0" w:noVBand="1"/>
      </w:tblPr>
      <w:tblGrid>
        <w:gridCol w:w="8780"/>
      </w:tblGrid>
      <w:tr w:rsidR="008422F8" w:rsidRPr="004D0354" w14:paraId="40106BD1" w14:textId="77777777" w:rsidTr="008422F8">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03F96318" w14:textId="3F049846" w:rsidR="008422F8" w:rsidRPr="004D0354" w:rsidRDefault="008422F8">
            <w:pPr>
              <w:rPr>
                <w:rFonts w:eastAsia="Arial" w:cs="Arial"/>
                <w:szCs w:val="20"/>
              </w:rPr>
            </w:pPr>
            <w:r w:rsidRPr="004D0354">
              <w:t>This dimension is part of:</w:t>
            </w:r>
          </w:p>
          <w:p w14:paraId="6910E23F" w14:textId="77777777" w:rsidR="00677367" w:rsidRPr="004D0354" w:rsidRDefault="00677367" w:rsidP="00FC3A37">
            <w:pPr>
              <w:pStyle w:val="ListParagraph"/>
            </w:pPr>
            <w:r w:rsidRPr="004D0354">
              <w:t xml:space="preserve">Indicator 5.1: Inclusive law-making, oversight and budgeting </w:t>
            </w:r>
          </w:p>
          <w:p w14:paraId="7121FDBF" w14:textId="5ACA2540" w:rsidR="008422F8" w:rsidRPr="004D0354" w:rsidRDefault="00B1448D" w:rsidP="004D0354">
            <w:pPr>
              <w:pStyle w:val="ListParagraph"/>
              <w:rPr>
                <w:sz w:val="24"/>
              </w:rPr>
            </w:pPr>
            <w:r w:rsidRPr="004D0354">
              <w:t>T</w:t>
            </w:r>
            <w:r w:rsidR="008422F8" w:rsidRPr="004D0354">
              <w:t>arget 5: Inclusive parliament</w:t>
            </w:r>
          </w:p>
        </w:tc>
      </w:tr>
    </w:tbl>
    <w:p w14:paraId="6BCF7E1A" w14:textId="7550E052" w:rsidR="00295648" w:rsidRPr="004D0354" w:rsidRDefault="00295648" w:rsidP="00677367">
      <w:pPr>
        <w:pStyle w:val="section-title"/>
      </w:pPr>
      <w:r w:rsidRPr="004D0354">
        <w:t>About this dimension</w:t>
      </w:r>
    </w:p>
    <w:p w14:paraId="1225953F" w14:textId="26EEC6EF" w:rsidR="00295648" w:rsidRPr="004D0354" w:rsidRDefault="00295648" w:rsidP="0043584A">
      <w:pPr>
        <w:rPr>
          <w:rFonts w:eastAsia="Arial" w:cs="Arial"/>
          <w:color w:val="000000"/>
          <w:szCs w:val="20"/>
        </w:rPr>
      </w:pPr>
      <w:r w:rsidRPr="004D0354">
        <w:rPr>
          <w:color w:val="000000"/>
        </w:rPr>
        <w:t xml:space="preserve">This dimension </w:t>
      </w:r>
      <w:r w:rsidR="00262D39" w:rsidRPr="004D0354">
        <w:rPr>
          <w:color w:val="000000"/>
        </w:rPr>
        <w:t>concerns</w:t>
      </w:r>
      <w:r w:rsidRPr="004D0354">
        <w:rPr>
          <w:color w:val="000000"/>
        </w:rPr>
        <w:t xml:space="preserve"> the inclusion of young people and youth issues in </w:t>
      </w:r>
      <w:r w:rsidR="00ED63E1" w:rsidRPr="004D0354">
        <w:rPr>
          <w:color w:val="000000"/>
        </w:rPr>
        <w:t xml:space="preserve">parliament’s </w:t>
      </w:r>
      <w:r w:rsidRPr="004D0354">
        <w:rPr>
          <w:color w:val="000000"/>
        </w:rPr>
        <w:t>formal and informal political processes.</w:t>
      </w:r>
    </w:p>
    <w:p w14:paraId="46DB57A5" w14:textId="77777777" w:rsidR="00295648" w:rsidRPr="004D0354" w:rsidRDefault="00295648" w:rsidP="0043584A">
      <w:pPr>
        <w:rPr>
          <w:rFonts w:eastAsia="Arial" w:cs="Arial"/>
          <w:szCs w:val="20"/>
          <w:lang w:eastAsia="en-GB"/>
        </w:rPr>
      </w:pPr>
    </w:p>
    <w:p w14:paraId="67BE32E6" w14:textId="37D0E20F" w:rsidR="00295648" w:rsidRPr="004D0354" w:rsidRDefault="00295648" w:rsidP="0043584A">
      <w:pPr>
        <w:rPr>
          <w:rFonts w:eastAsia="Arial" w:cs="Arial"/>
          <w:color w:val="000000"/>
          <w:szCs w:val="20"/>
        </w:rPr>
      </w:pPr>
      <w:r w:rsidRPr="004D0354">
        <w:rPr>
          <w:color w:val="000000"/>
        </w:rPr>
        <w:t xml:space="preserve">Parliament can play an important role in the development of youth-sensitive policies and </w:t>
      </w:r>
      <w:r w:rsidR="00C81042" w:rsidRPr="004D0354">
        <w:rPr>
          <w:color w:val="000000"/>
        </w:rPr>
        <w:t xml:space="preserve">the </w:t>
      </w:r>
      <w:r w:rsidRPr="004D0354">
        <w:rPr>
          <w:color w:val="000000"/>
        </w:rPr>
        <w:t xml:space="preserve">promotion of youth </w:t>
      </w:r>
      <w:r w:rsidRPr="004D0354">
        <w:t xml:space="preserve">inclusion </w:t>
      </w:r>
      <w:r w:rsidR="00C81042" w:rsidRPr="004D0354">
        <w:rPr>
          <w:color w:val="000000"/>
        </w:rPr>
        <w:t xml:space="preserve">by engaging </w:t>
      </w:r>
      <w:r w:rsidR="00F16B84" w:rsidRPr="004D0354">
        <w:rPr>
          <w:color w:val="000000"/>
        </w:rPr>
        <w:t xml:space="preserve">young </w:t>
      </w:r>
      <w:r w:rsidR="00C81042" w:rsidRPr="004D0354">
        <w:rPr>
          <w:color w:val="000000"/>
        </w:rPr>
        <w:t>people in its</w:t>
      </w:r>
      <w:r w:rsidRPr="004D0354">
        <w:rPr>
          <w:color w:val="000000"/>
        </w:rPr>
        <w:t xml:space="preserve"> work, </w:t>
      </w:r>
      <w:r w:rsidR="00C81042" w:rsidRPr="004D0354">
        <w:rPr>
          <w:color w:val="000000"/>
        </w:rPr>
        <w:t>by supporting and partnering</w:t>
      </w:r>
      <w:r w:rsidRPr="004D0354">
        <w:rPr>
          <w:color w:val="000000"/>
        </w:rPr>
        <w:t xml:space="preserve"> with youth </w:t>
      </w:r>
      <w:r w:rsidRPr="004D0354">
        <w:t>organi</w:t>
      </w:r>
      <w:r w:rsidR="009B15A2" w:rsidRPr="004D0354">
        <w:t>z</w:t>
      </w:r>
      <w:r w:rsidRPr="004D0354">
        <w:t>ations</w:t>
      </w:r>
      <w:r w:rsidR="00C81042" w:rsidRPr="004D0354">
        <w:t>,</w:t>
      </w:r>
      <w:r w:rsidRPr="004D0354">
        <w:t xml:space="preserve"> </w:t>
      </w:r>
      <w:r w:rsidR="00A66AA9" w:rsidRPr="004D0354">
        <w:t xml:space="preserve">and </w:t>
      </w:r>
      <w:r w:rsidR="00C81042" w:rsidRPr="004D0354">
        <w:t>by</w:t>
      </w:r>
      <w:r w:rsidR="00C81042" w:rsidRPr="004D0354">
        <w:rPr>
          <w:color w:val="000000"/>
        </w:rPr>
        <w:t xml:space="preserve"> creating</w:t>
      </w:r>
      <w:r w:rsidRPr="004D0354">
        <w:rPr>
          <w:color w:val="000000"/>
        </w:rPr>
        <w:t xml:space="preserve"> youth education and empowerment programmes.</w:t>
      </w:r>
      <w:r w:rsidRPr="004D0354">
        <w:t xml:space="preserve"> Some parliaments have a parliamentary body specialized </w:t>
      </w:r>
      <w:r w:rsidR="00D35BDA" w:rsidRPr="004D0354">
        <w:t xml:space="preserve">in </w:t>
      </w:r>
      <w:r w:rsidRPr="004D0354">
        <w:t>youth matters. I</w:t>
      </w:r>
      <w:r w:rsidR="00D35BDA" w:rsidRPr="004D0354">
        <w:t>t is especially important for parliament to include</w:t>
      </w:r>
      <w:r w:rsidRPr="004D0354">
        <w:t xml:space="preserve"> young people from vulnerable groups in society.</w:t>
      </w:r>
    </w:p>
    <w:p w14:paraId="06B39938" w14:textId="77777777" w:rsidR="00295648" w:rsidRPr="004D0354" w:rsidRDefault="00295648" w:rsidP="0043584A">
      <w:pPr>
        <w:rPr>
          <w:rFonts w:eastAsia="Arial" w:cs="Arial"/>
          <w:szCs w:val="20"/>
          <w:lang w:eastAsia="en-GB"/>
        </w:rPr>
      </w:pPr>
    </w:p>
    <w:p w14:paraId="3C938EB9" w14:textId="01FB5624" w:rsidR="00ED63E1" w:rsidRPr="004D0354" w:rsidRDefault="00ED63E1" w:rsidP="0043584A">
      <w:pPr>
        <w:rPr>
          <w:color w:val="000000"/>
        </w:rPr>
      </w:pPr>
      <w:r w:rsidRPr="004D0354">
        <w:rPr>
          <w:color w:val="000000"/>
        </w:rPr>
        <w:t>Examples of y</w:t>
      </w:r>
      <w:r w:rsidR="00295648" w:rsidRPr="004D0354">
        <w:rPr>
          <w:color w:val="000000"/>
        </w:rPr>
        <w:t>outh engagement and education activities can include</w:t>
      </w:r>
      <w:r w:rsidRPr="004D0354">
        <w:rPr>
          <w:color w:val="000000"/>
        </w:rPr>
        <w:t xml:space="preserve"> the following</w:t>
      </w:r>
      <w:r w:rsidR="00295648" w:rsidRPr="004D0354">
        <w:rPr>
          <w:color w:val="000000"/>
        </w:rPr>
        <w:t>:</w:t>
      </w:r>
    </w:p>
    <w:p w14:paraId="2A64B38E" w14:textId="77777777" w:rsidR="00ED63E1" w:rsidRPr="004D0354" w:rsidRDefault="00ED63E1" w:rsidP="0043584A">
      <w:pPr>
        <w:rPr>
          <w:color w:val="000000"/>
        </w:rPr>
      </w:pPr>
    </w:p>
    <w:p w14:paraId="44AAB423" w14:textId="690A350E" w:rsidR="00ED63E1" w:rsidRPr="004D0354" w:rsidRDefault="00ED63E1" w:rsidP="00FC3A37">
      <w:pPr>
        <w:pStyle w:val="ListParagraph"/>
        <w:rPr>
          <w:rFonts w:eastAsia="Arial" w:cs="Arial"/>
          <w:szCs w:val="20"/>
        </w:rPr>
      </w:pPr>
      <w:r w:rsidRPr="004D0354">
        <w:t>E</w:t>
      </w:r>
      <w:r w:rsidR="00295648" w:rsidRPr="004D0354">
        <w:t>stablish</w:t>
      </w:r>
      <w:r w:rsidRPr="004D0354">
        <w:t>ing</w:t>
      </w:r>
      <w:r w:rsidR="00295648" w:rsidRPr="004D0354">
        <w:t xml:space="preserve"> civic education programmes, </w:t>
      </w:r>
      <w:r w:rsidRPr="004D0354">
        <w:t>possibly in conjunction</w:t>
      </w:r>
      <w:r w:rsidR="00295648" w:rsidRPr="004D0354">
        <w:t xml:space="preserve"> with schools and universities</w:t>
      </w:r>
    </w:p>
    <w:p w14:paraId="514D5585" w14:textId="38D66CEB" w:rsidR="00ED63E1" w:rsidRPr="004D0354" w:rsidRDefault="00ED63E1" w:rsidP="00FC3A37">
      <w:pPr>
        <w:pStyle w:val="ListParagraph"/>
        <w:rPr>
          <w:rFonts w:eastAsia="Arial" w:cs="Arial"/>
          <w:szCs w:val="20"/>
        </w:rPr>
      </w:pPr>
      <w:r w:rsidRPr="004D0354">
        <w:t>Inviting</w:t>
      </w:r>
      <w:r w:rsidR="00295648" w:rsidRPr="004D0354">
        <w:t xml:space="preserve"> young people to visit </w:t>
      </w:r>
      <w:proofErr w:type="gramStart"/>
      <w:r w:rsidR="00295648" w:rsidRPr="004D0354">
        <w:t>parliament</w:t>
      </w:r>
      <w:proofErr w:type="gramEnd"/>
    </w:p>
    <w:p w14:paraId="0F22AEAF" w14:textId="1F3C54B8" w:rsidR="00ED63E1" w:rsidRPr="004D0354" w:rsidRDefault="00ED63E1" w:rsidP="00FC3A37">
      <w:pPr>
        <w:pStyle w:val="ListParagraph"/>
        <w:rPr>
          <w:rFonts w:eastAsia="Arial" w:cs="Arial"/>
          <w:szCs w:val="20"/>
        </w:rPr>
      </w:pPr>
      <w:r w:rsidRPr="004D0354">
        <w:t>Providing</w:t>
      </w:r>
      <w:r w:rsidR="00295648" w:rsidRPr="004D0354">
        <w:t xml:space="preserve"> specially designed programmes for children and young people</w:t>
      </w:r>
    </w:p>
    <w:p w14:paraId="1A013655" w14:textId="4D8685AC" w:rsidR="00ED63E1" w:rsidRPr="004D0354" w:rsidRDefault="00ED63E1" w:rsidP="00FC3A37">
      <w:pPr>
        <w:pStyle w:val="ListParagraph"/>
        <w:rPr>
          <w:rFonts w:eastAsia="Arial" w:cs="Arial"/>
          <w:szCs w:val="20"/>
        </w:rPr>
      </w:pPr>
      <w:r w:rsidRPr="004D0354">
        <w:t>Setting up</w:t>
      </w:r>
      <w:r w:rsidR="00295648" w:rsidRPr="004D0354">
        <w:t xml:space="preserve"> internship </w:t>
      </w:r>
      <w:r w:rsidRPr="004D0354">
        <w:t xml:space="preserve">programmes </w:t>
      </w:r>
      <w:r w:rsidR="00295648" w:rsidRPr="004D0354">
        <w:t>for students in parliament</w:t>
      </w:r>
    </w:p>
    <w:p w14:paraId="538BD860" w14:textId="44E154BF" w:rsidR="00ED63E1" w:rsidRPr="004D0354" w:rsidRDefault="00ED63E1" w:rsidP="00FC3A37">
      <w:pPr>
        <w:pStyle w:val="ListParagraph"/>
        <w:rPr>
          <w:rFonts w:eastAsia="Arial" w:cs="Arial"/>
          <w:szCs w:val="20"/>
        </w:rPr>
      </w:pPr>
      <w:r w:rsidRPr="004D0354">
        <w:t>Encouraging</w:t>
      </w:r>
      <w:r w:rsidR="00295648" w:rsidRPr="004D0354">
        <w:t xml:space="preserve"> MPs to engage with young people through different channels</w:t>
      </w:r>
      <w:r w:rsidRPr="004D0354">
        <w:t xml:space="preserve">, </w:t>
      </w:r>
      <w:r w:rsidR="00295648" w:rsidRPr="004D0354">
        <w:t xml:space="preserve">including </w:t>
      </w:r>
      <w:proofErr w:type="gramStart"/>
      <w:r w:rsidRPr="004D0354">
        <w:t>online</w:t>
      </w:r>
      <w:proofErr w:type="gramEnd"/>
    </w:p>
    <w:p w14:paraId="35F8F6E0" w14:textId="09969166" w:rsidR="00ED63E1" w:rsidRPr="004D0354" w:rsidRDefault="00ED63E1" w:rsidP="00FC3A37">
      <w:pPr>
        <w:pStyle w:val="ListParagraph"/>
        <w:rPr>
          <w:rFonts w:eastAsia="Arial" w:cs="Arial"/>
          <w:szCs w:val="20"/>
        </w:rPr>
      </w:pPr>
      <w:r w:rsidRPr="004D0354">
        <w:t>S</w:t>
      </w:r>
      <w:r w:rsidR="00295648" w:rsidRPr="004D0354">
        <w:t>upport</w:t>
      </w:r>
      <w:r w:rsidRPr="004D0354">
        <w:t>ing</w:t>
      </w:r>
      <w:r w:rsidR="00295648" w:rsidRPr="004D0354">
        <w:t xml:space="preserve"> youth parliaments</w:t>
      </w:r>
    </w:p>
    <w:p w14:paraId="40F93D46" w14:textId="6F1933B4" w:rsidR="00295648" w:rsidRPr="004D0354" w:rsidRDefault="00ED63E1" w:rsidP="004D0354">
      <w:pPr>
        <w:pStyle w:val="ListParagraph"/>
        <w:rPr>
          <w:rFonts w:eastAsia="Arial" w:cs="Arial"/>
          <w:szCs w:val="20"/>
        </w:rPr>
      </w:pPr>
      <w:r w:rsidRPr="004D0354">
        <w:t>O</w:t>
      </w:r>
      <w:r w:rsidR="00295648" w:rsidRPr="004D0354">
        <w:t>rgani</w:t>
      </w:r>
      <w:r w:rsidR="009B15A2" w:rsidRPr="004D0354">
        <w:t>z</w:t>
      </w:r>
      <w:r w:rsidRPr="004D0354">
        <w:t>ing</w:t>
      </w:r>
      <w:r w:rsidR="00295648" w:rsidRPr="004D0354">
        <w:t xml:space="preserve"> youth for</w:t>
      </w:r>
      <w:r w:rsidR="009B15A2" w:rsidRPr="004D0354">
        <w:t>ums</w:t>
      </w:r>
    </w:p>
    <w:p w14:paraId="34B08404" w14:textId="77777777" w:rsidR="00295648" w:rsidRPr="004D0354" w:rsidRDefault="00295648" w:rsidP="0043584A">
      <w:pPr>
        <w:rPr>
          <w:rFonts w:eastAsia="Arial" w:cs="Arial"/>
          <w:szCs w:val="20"/>
          <w:lang w:eastAsia="en-GB"/>
        </w:rPr>
      </w:pPr>
    </w:p>
    <w:p w14:paraId="72C56245" w14:textId="6CD8D0A0" w:rsidR="00295648" w:rsidRPr="004D0354" w:rsidRDefault="00295648" w:rsidP="0043584A">
      <w:pPr>
        <w:rPr>
          <w:rFonts w:eastAsia="Arial" w:cs="Arial"/>
          <w:szCs w:val="20"/>
        </w:rPr>
      </w:pPr>
      <w:r w:rsidRPr="004D0354">
        <w:t xml:space="preserve">Youth engagement in parliamentary activities, particularly on topics that specifically affect this age group, should be promoted </w:t>
      </w:r>
      <w:proofErr w:type="gramStart"/>
      <w:r w:rsidRPr="004D0354">
        <w:t>through the use of</w:t>
      </w:r>
      <w:proofErr w:type="gramEnd"/>
      <w:r w:rsidRPr="004D0354">
        <w:t xml:space="preserve"> digital and other tools and channels that are adapted to young people.</w:t>
      </w:r>
      <w:r w:rsidR="00B2133D" w:rsidRPr="004D0354">
        <w:t xml:space="preserve"> T</w:t>
      </w:r>
      <w:r w:rsidRPr="004D0354">
        <w:t xml:space="preserve">he content of proceedings, debates and decisions on issues affecting young people </w:t>
      </w:r>
      <w:r w:rsidR="00D257BD" w:rsidRPr="004D0354">
        <w:t>should</w:t>
      </w:r>
      <w:r w:rsidRPr="004D0354">
        <w:t xml:space="preserve"> be communicated in a way that </w:t>
      </w:r>
      <w:r w:rsidR="00D257BD" w:rsidRPr="004D0354">
        <w:t>is accessible to</w:t>
      </w:r>
      <w:r w:rsidRPr="004D0354">
        <w:t xml:space="preserve"> young men and women. </w:t>
      </w:r>
    </w:p>
    <w:p w14:paraId="1957E296" w14:textId="77777777" w:rsidR="00295648" w:rsidRPr="004D0354" w:rsidRDefault="00295648" w:rsidP="0043584A">
      <w:pPr>
        <w:rPr>
          <w:rFonts w:eastAsia="Arial" w:cs="Arial"/>
          <w:szCs w:val="20"/>
          <w:lang w:eastAsia="en-GB"/>
        </w:rPr>
      </w:pPr>
    </w:p>
    <w:p w14:paraId="41BA0908" w14:textId="1CC96CED" w:rsidR="00A66AA9" w:rsidRPr="004D0354" w:rsidRDefault="00A66AA9" w:rsidP="0043584A">
      <w:r w:rsidRPr="004D0354">
        <w:t xml:space="preserve">See also </w:t>
      </w:r>
      <w:r w:rsidRPr="004D0354">
        <w:rPr>
          <w:i/>
          <w:iCs/>
        </w:rPr>
        <w:t>Dimension 7.2.3: Representation of youth</w:t>
      </w:r>
      <w:r w:rsidRPr="004D0354">
        <w:t xml:space="preserve"> and </w:t>
      </w:r>
      <w:r w:rsidR="0016575E" w:rsidRPr="004D0354">
        <w:rPr>
          <w:i/>
          <w:iCs/>
        </w:rPr>
        <w:t xml:space="preserve">Dimension </w:t>
      </w:r>
      <w:r w:rsidRPr="004D0354">
        <w:rPr>
          <w:i/>
          <w:iCs/>
        </w:rPr>
        <w:t>7.3.3: Gender and age balance in parliamentary bodies</w:t>
      </w:r>
      <w:r w:rsidRPr="004D0354">
        <w:t>.</w:t>
      </w:r>
    </w:p>
    <w:p w14:paraId="4BC04AD8" w14:textId="3ABAA99E" w:rsidR="0043584A" w:rsidRPr="004D0354" w:rsidRDefault="00295648" w:rsidP="00677367">
      <w:pPr>
        <w:pStyle w:val="section-title"/>
      </w:pPr>
      <w:r w:rsidRPr="004D0354">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00" w:firstRow="0" w:lastRow="0" w:firstColumn="0" w:lastColumn="0" w:noHBand="0" w:noVBand="1"/>
      </w:tblPr>
      <w:tblGrid>
        <w:gridCol w:w="8780"/>
      </w:tblGrid>
      <w:tr w:rsidR="00295648" w:rsidRPr="004D0354" w14:paraId="55D4CD83" w14:textId="77777777" w:rsidTr="000F1C24">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91ADC1A" w14:textId="12954E28" w:rsidR="00295648" w:rsidRPr="004D0354" w:rsidRDefault="00295648" w:rsidP="0043584A">
            <w:pPr>
              <w:spacing w:after="160"/>
              <w:rPr>
                <w:rFonts w:eastAsia="Arial" w:cs="Arial"/>
                <w:i/>
                <w:szCs w:val="20"/>
              </w:rPr>
            </w:pPr>
            <w:r w:rsidRPr="004D0354">
              <w:rPr>
                <w:i/>
              </w:rPr>
              <w:t xml:space="preserve">Based on a global comparative analysis, an aspiring goal for parliaments </w:t>
            </w:r>
            <w:proofErr w:type="gramStart"/>
            <w:r w:rsidRPr="004D0354">
              <w:rPr>
                <w:i/>
              </w:rPr>
              <w:t>in the area of</w:t>
            </w:r>
            <w:proofErr w:type="gramEnd"/>
            <w:r w:rsidRPr="004D0354">
              <w:rPr>
                <w:i/>
              </w:rPr>
              <w:t xml:space="preserve"> </w:t>
            </w:r>
            <w:r w:rsidR="00B1448D" w:rsidRPr="004D0354">
              <w:rPr>
                <w:i/>
              </w:rPr>
              <w:t>“</w:t>
            </w:r>
            <w:r w:rsidRPr="004D0354">
              <w:rPr>
                <w:i/>
              </w:rPr>
              <w:t>youth inclusion</w:t>
            </w:r>
            <w:r w:rsidR="00B1448D" w:rsidRPr="004D0354">
              <w:rPr>
                <w:i/>
              </w:rPr>
              <w:t>”</w:t>
            </w:r>
            <w:r w:rsidRPr="004D0354">
              <w:rPr>
                <w:i/>
              </w:rPr>
              <w:t xml:space="preserve"> is as follows:</w:t>
            </w:r>
          </w:p>
          <w:p w14:paraId="10E8E928" w14:textId="7771118E" w:rsidR="005677F5" w:rsidRPr="004D0354" w:rsidRDefault="005677F5" w:rsidP="0043584A">
            <w:pPr>
              <w:rPr>
                <w:rFonts w:eastAsia="Arial" w:cs="Arial"/>
                <w:szCs w:val="20"/>
              </w:rPr>
            </w:pPr>
            <w:r w:rsidRPr="004D0354">
              <w:t xml:space="preserve">Parliament regularly consults with youth organizations with a view to developing effective mechanisms for including young people in formal and informal political processes. </w:t>
            </w:r>
          </w:p>
          <w:p w14:paraId="1A3A306C" w14:textId="77777777" w:rsidR="005677F5" w:rsidRPr="004D0354" w:rsidRDefault="005677F5" w:rsidP="0043584A">
            <w:pPr>
              <w:rPr>
                <w:rFonts w:eastAsia="Arial" w:cs="Arial"/>
                <w:szCs w:val="20"/>
              </w:rPr>
            </w:pPr>
          </w:p>
          <w:p w14:paraId="64CD3794" w14:textId="77777777" w:rsidR="00295648" w:rsidRPr="004D0354" w:rsidRDefault="00CC49AF" w:rsidP="00CC49AF">
            <w:r w:rsidRPr="004D0354">
              <w:t>Parliament provides young people with meaningful opportunities to engage in core aspects of parliamentary work, including the work of its committees. Such forms of engagement are substantive and influence parliamentary decision-making.</w:t>
            </w:r>
          </w:p>
          <w:p w14:paraId="7AB5DB0C" w14:textId="77777777" w:rsidR="00CC49AF" w:rsidRPr="004D0354" w:rsidRDefault="00CC49AF" w:rsidP="00CC49AF">
            <w:pPr>
              <w:rPr>
                <w:rFonts w:eastAsia="Arial" w:cs="Arial"/>
                <w:szCs w:val="20"/>
                <w:lang w:eastAsia="en-GB"/>
              </w:rPr>
            </w:pPr>
          </w:p>
          <w:p w14:paraId="1FDAA4DF" w14:textId="3ADC23F4" w:rsidR="00CC49AF" w:rsidRPr="004D0354" w:rsidRDefault="00CC49AF" w:rsidP="00CC49AF">
            <w:pPr>
              <w:rPr>
                <w:color w:val="000000"/>
              </w:rPr>
            </w:pPr>
            <w:r w:rsidRPr="004D0354">
              <w:t xml:space="preserve">Parliament has developed diverse, </w:t>
            </w:r>
            <w:proofErr w:type="gramStart"/>
            <w:r w:rsidRPr="004D0354">
              <w:t>meaningful</w:t>
            </w:r>
            <w:proofErr w:type="gramEnd"/>
            <w:r w:rsidRPr="004D0354">
              <w:t xml:space="preserve"> and youth-friendly programmes for youth inclusion and education, including programmes developed in conjunction with schools, universities and youth organizations</w:t>
            </w:r>
            <w:r w:rsidRPr="004D0354">
              <w:rPr>
                <w:color w:val="000000"/>
              </w:rPr>
              <w:t>.</w:t>
            </w:r>
          </w:p>
          <w:p w14:paraId="00B7258B" w14:textId="77777777" w:rsidR="005677F5" w:rsidRPr="004D0354" w:rsidRDefault="005677F5" w:rsidP="00CC49AF">
            <w:pPr>
              <w:rPr>
                <w:color w:val="000000"/>
              </w:rPr>
            </w:pPr>
          </w:p>
          <w:p w14:paraId="4EFC0543" w14:textId="71EB7652" w:rsidR="00CC49AF" w:rsidRPr="004D0354" w:rsidRDefault="00CC49AF" w:rsidP="00CC49AF">
            <w:r w:rsidRPr="004D0354">
              <w:t>Parliament gathers data and participant feedback on its youth inclusion and education programmes for the purpose of continuous improvement.</w:t>
            </w:r>
          </w:p>
          <w:p w14:paraId="11ADDBC5" w14:textId="31FD1BD4" w:rsidR="00601534" w:rsidRPr="004D0354" w:rsidRDefault="00601534" w:rsidP="005677F5">
            <w:pPr>
              <w:rPr>
                <w:rFonts w:eastAsia="Arial" w:cs="Arial"/>
                <w:szCs w:val="20"/>
                <w:lang w:eastAsia="en-GB"/>
              </w:rPr>
            </w:pPr>
          </w:p>
        </w:tc>
      </w:tr>
    </w:tbl>
    <w:p w14:paraId="3ADEEE88" w14:textId="77777777" w:rsidR="00295648" w:rsidRPr="004D0354" w:rsidRDefault="00295648" w:rsidP="00677367">
      <w:pPr>
        <w:pStyle w:val="section-title"/>
      </w:pPr>
      <w:r w:rsidRPr="004D0354">
        <w:t>Assessment</w:t>
      </w:r>
    </w:p>
    <w:p w14:paraId="15719A9F" w14:textId="29929CA4" w:rsidR="00295648" w:rsidRPr="004D0354" w:rsidRDefault="00295648" w:rsidP="0043584A">
      <w:pPr>
        <w:spacing w:before="200"/>
        <w:rPr>
          <w:rFonts w:eastAsia="Arial" w:cs="Arial"/>
          <w:szCs w:val="20"/>
        </w:rPr>
      </w:pPr>
      <w:r w:rsidRPr="004D0354">
        <w:rPr>
          <w:color w:val="000000"/>
        </w:rPr>
        <w:t xml:space="preserve">This dimension is assessed against several criteria, each of which should be evaluated separately. For each criterion, select one of the six descriptive grades (Non-existent, Rudimentary, </w:t>
      </w:r>
      <w:r w:rsidRPr="004D0354">
        <w:rPr>
          <w:color w:val="000000"/>
        </w:rPr>
        <w:lastRenderedPageBreak/>
        <w:t xml:space="preserve">Basic, Good, </w:t>
      </w:r>
      <w:proofErr w:type="gramStart"/>
      <w:r w:rsidRPr="004D0354">
        <w:rPr>
          <w:color w:val="000000"/>
        </w:rPr>
        <w:t>Very</w:t>
      </w:r>
      <w:proofErr w:type="gramEnd"/>
      <w:r w:rsidRPr="004D0354">
        <w:rPr>
          <w:color w:val="000000"/>
        </w:rPr>
        <w:t xml:space="preserve"> good and Excellent) that best reflects the situation in your parliament, and provide details of the evidence on which this assessment is based.</w:t>
      </w:r>
      <w:r w:rsidRPr="004D0354">
        <w:t xml:space="preserve"> </w:t>
      </w:r>
    </w:p>
    <w:p w14:paraId="4245769D" w14:textId="788FF79F" w:rsidR="00295648" w:rsidRPr="004D0354" w:rsidRDefault="00295648" w:rsidP="0043584A">
      <w:pPr>
        <w:spacing w:before="200"/>
        <w:rPr>
          <w:rFonts w:eastAsia="Arial" w:cs="Arial"/>
          <w:szCs w:val="20"/>
        </w:rPr>
      </w:pPr>
      <w:r w:rsidRPr="004D0354">
        <w:t>The evidence for assessment of this dimension could include the following:</w:t>
      </w:r>
    </w:p>
    <w:p w14:paraId="2FA606B4" w14:textId="77777777" w:rsidR="0043584A" w:rsidRPr="004D0354" w:rsidRDefault="0043584A" w:rsidP="0043584A">
      <w:pPr>
        <w:rPr>
          <w:rFonts w:eastAsia="Arial" w:cs="Arial"/>
          <w:szCs w:val="20"/>
          <w:lang w:eastAsia="en-GB"/>
        </w:rPr>
      </w:pPr>
    </w:p>
    <w:p w14:paraId="7DE44F5B" w14:textId="6C9BE71C" w:rsidR="00295648" w:rsidRPr="004D0354" w:rsidRDefault="00295648" w:rsidP="0043584A">
      <w:pPr>
        <w:numPr>
          <w:ilvl w:val="0"/>
          <w:numId w:val="14"/>
        </w:numPr>
        <w:pBdr>
          <w:top w:val="nil"/>
          <w:left w:val="nil"/>
          <w:bottom w:val="nil"/>
          <w:right w:val="nil"/>
          <w:between w:val="nil"/>
        </w:pBdr>
        <w:ind w:left="562" w:hanging="562"/>
        <w:rPr>
          <w:rFonts w:eastAsia="Arial" w:cs="Arial"/>
          <w:color w:val="000000"/>
          <w:szCs w:val="20"/>
        </w:rPr>
      </w:pPr>
      <w:r w:rsidRPr="004D0354">
        <w:rPr>
          <w:color w:val="000000"/>
        </w:rPr>
        <w:t>Parliament’s strategies, action plans, programmes or other documents involv</w:t>
      </w:r>
      <w:r w:rsidR="00B10E09" w:rsidRPr="004D0354">
        <w:rPr>
          <w:color w:val="000000"/>
        </w:rPr>
        <w:t>ing</w:t>
      </w:r>
      <w:r w:rsidRPr="004D0354">
        <w:rPr>
          <w:color w:val="000000"/>
        </w:rPr>
        <w:t xml:space="preserve"> or address</w:t>
      </w:r>
      <w:r w:rsidR="00B10E09" w:rsidRPr="004D0354">
        <w:rPr>
          <w:color w:val="000000"/>
        </w:rPr>
        <w:t>ing</w:t>
      </w:r>
      <w:r w:rsidRPr="004D0354">
        <w:rPr>
          <w:color w:val="000000"/>
        </w:rPr>
        <w:t xml:space="preserve"> youth </w:t>
      </w:r>
      <w:r w:rsidR="00B10E09" w:rsidRPr="004D0354">
        <w:t xml:space="preserve">inclusion and </w:t>
      </w:r>
      <w:proofErr w:type="gramStart"/>
      <w:r w:rsidR="00B10E09" w:rsidRPr="004D0354">
        <w:t>education</w:t>
      </w:r>
      <w:proofErr w:type="gramEnd"/>
      <w:r w:rsidR="00B10E09" w:rsidRPr="004D0354">
        <w:t xml:space="preserve"> </w:t>
      </w:r>
    </w:p>
    <w:p w14:paraId="3AC54C99" w14:textId="364C8289" w:rsidR="00295648" w:rsidRPr="004D0354" w:rsidRDefault="00295648" w:rsidP="0043584A">
      <w:pPr>
        <w:numPr>
          <w:ilvl w:val="0"/>
          <w:numId w:val="14"/>
        </w:numPr>
        <w:pBdr>
          <w:top w:val="nil"/>
          <w:left w:val="nil"/>
          <w:bottom w:val="nil"/>
          <w:right w:val="nil"/>
          <w:between w:val="nil"/>
        </w:pBdr>
        <w:ind w:left="562" w:hanging="562"/>
        <w:rPr>
          <w:rFonts w:eastAsia="Arial" w:cs="Arial"/>
          <w:color w:val="000000"/>
          <w:szCs w:val="20"/>
        </w:rPr>
      </w:pPr>
      <w:r w:rsidRPr="004D0354">
        <w:rPr>
          <w:color w:val="000000"/>
        </w:rPr>
        <w:t>Meeting records and reports describ</w:t>
      </w:r>
      <w:r w:rsidR="00B10E09" w:rsidRPr="004D0354">
        <w:rPr>
          <w:color w:val="000000"/>
        </w:rPr>
        <w:t>ing</w:t>
      </w:r>
      <w:r w:rsidRPr="004D0354">
        <w:rPr>
          <w:color w:val="000000"/>
        </w:rPr>
        <w:t xml:space="preserve"> youth </w:t>
      </w:r>
      <w:proofErr w:type="gramStart"/>
      <w:r w:rsidRPr="004D0354">
        <w:rPr>
          <w:color w:val="000000"/>
        </w:rPr>
        <w:t>engagement</w:t>
      </w:r>
      <w:proofErr w:type="gramEnd"/>
    </w:p>
    <w:p w14:paraId="3E184AD8" w14:textId="7F138A08" w:rsidR="00295648" w:rsidRPr="004D0354" w:rsidRDefault="00295648" w:rsidP="0043584A">
      <w:pPr>
        <w:numPr>
          <w:ilvl w:val="0"/>
          <w:numId w:val="14"/>
        </w:numPr>
        <w:pBdr>
          <w:top w:val="nil"/>
          <w:left w:val="nil"/>
          <w:bottom w:val="nil"/>
          <w:right w:val="nil"/>
          <w:between w:val="nil"/>
        </w:pBdr>
        <w:ind w:left="562" w:hanging="562"/>
        <w:rPr>
          <w:rFonts w:eastAsia="Arial" w:cs="Arial"/>
          <w:color w:val="000000"/>
          <w:szCs w:val="20"/>
        </w:rPr>
      </w:pPr>
      <w:r w:rsidRPr="004D0354">
        <w:rPr>
          <w:color w:val="000000"/>
        </w:rPr>
        <w:t xml:space="preserve">Feedback </w:t>
      </w:r>
      <w:r w:rsidR="00DF7B4B">
        <w:rPr>
          <w:color w:val="000000"/>
        </w:rPr>
        <w:t>from</w:t>
      </w:r>
      <w:r w:rsidRPr="004D0354">
        <w:rPr>
          <w:color w:val="000000"/>
        </w:rPr>
        <w:t xml:space="preserve"> participants in youth programmes</w:t>
      </w:r>
    </w:p>
    <w:p w14:paraId="44FC2253" w14:textId="77777777" w:rsidR="00295648" w:rsidRPr="004D0354" w:rsidRDefault="00295648" w:rsidP="0043584A">
      <w:pPr>
        <w:numPr>
          <w:ilvl w:val="0"/>
          <w:numId w:val="14"/>
        </w:numPr>
        <w:pBdr>
          <w:top w:val="nil"/>
          <w:left w:val="nil"/>
          <w:bottom w:val="nil"/>
          <w:right w:val="nil"/>
          <w:between w:val="nil"/>
        </w:pBdr>
        <w:ind w:left="562" w:hanging="562"/>
        <w:rPr>
          <w:rFonts w:eastAsia="Arial" w:cs="Arial"/>
          <w:color w:val="000000"/>
          <w:szCs w:val="20"/>
        </w:rPr>
      </w:pPr>
      <w:r w:rsidRPr="004D0354">
        <w:rPr>
          <w:color w:val="000000"/>
        </w:rPr>
        <w:t xml:space="preserve">Digital and other tools tailored to young </w:t>
      </w:r>
      <w:proofErr w:type="gramStart"/>
      <w:r w:rsidRPr="004D0354">
        <w:rPr>
          <w:color w:val="000000"/>
        </w:rPr>
        <w:t>people</w:t>
      </w:r>
      <w:proofErr w:type="gramEnd"/>
    </w:p>
    <w:p w14:paraId="17BDAC89" w14:textId="3038A547" w:rsidR="00295648" w:rsidRPr="004D0354" w:rsidRDefault="00295648" w:rsidP="0043584A">
      <w:pPr>
        <w:numPr>
          <w:ilvl w:val="0"/>
          <w:numId w:val="14"/>
        </w:numPr>
        <w:pBdr>
          <w:top w:val="nil"/>
          <w:left w:val="nil"/>
          <w:bottom w:val="nil"/>
          <w:right w:val="nil"/>
          <w:between w:val="nil"/>
        </w:pBdr>
        <w:ind w:left="562" w:hanging="562"/>
        <w:rPr>
          <w:rFonts w:eastAsia="Arial" w:cs="Arial"/>
          <w:color w:val="000000"/>
          <w:szCs w:val="20"/>
        </w:rPr>
      </w:pPr>
      <w:r w:rsidRPr="004D0354">
        <w:rPr>
          <w:color w:val="000000"/>
        </w:rPr>
        <w:t xml:space="preserve">Monitoring and evaluation documents on youth </w:t>
      </w:r>
      <w:r w:rsidR="00B10E09" w:rsidRPr="004D0354">
        <w:t xml:space="preserve">inclusion and education </w:t>
      </w:r>
    </w:p>
    <w:p w14:paraId="73B2A822" w14:textId="77777777" w:rsidR="0043584A" w:rsidRPr="004D0354" w:rsidRDefault="0043584A" w:rsidP="0043584A">
      <w:pPr>
        <w:rPr>
          <w:rFonts w:eastAsia="Arial" w:cs="Arial"/>
          <w:szCs w:val="20"/>
          <w:lang w:eastAsia="en-GB"/>
        </w:rPr>
      </w:pPr>
    </w:p>
    <w:p w14:paraId="67A9FCD6" w14:textId="34084241" w:rsidR="00295648" w:rsidRPr="004D0354" w:rsidRDefault="00295648" w:rsidP="0043584A">
      <w:pPr>
        <w:rPr>
          <w:rFonts w:eastAsia="Arial" w:cs="Arial"/>
          <w:szCs w:val="20"/>
        </w:rPr>
      </w:pPr>
      <w:r w:rsidRPr="004D0354">
        <w:t>Where relevant, provide additional comments or examples that support the assessment.</w:t>
      </w:r>
    </w:p>
    <w:p w14:paraId="6EB53A34" w14:textId="4D7EE7B4" w:rsidR="005677F5" w:rsidRPr="004D0354" w:rsidRDefault="005677F5" w:rsidP="001030B6">
      <w:pPr>
        <w:pStyle w:val="Heading4"/>
        <w:rPr>
          <w:rFonts w:cstheme="majorBidi"/>
        </w:rPr>
      </w:pPr>
      <w:r w:rsidRPr="004D0354">
        <w:t>Assessment criterion 1: Consultation</w:t>
      </w:r>
    </w:p>
    <w:p w14:paraId="03C04BC8" w14:textId="08274EFF" w:rsidR="005677F5" w:rsidRPr="004D0354" w:rsidRDefault="005677F5" w:rsidP="005677F5">
      <w:r w:rsidRPr="004D0354">
        <w:t>Parliament regularly consults with youth organizations with a view to developing effective mechanisms for including young people in formal and informal political processes.</w:t>
      </w:r>
    </w:p>
    <w:p w14:paraId="14F8774C" w14:textId="77777777" w:rsidR="005677F5" w:rsidRPr="004D0354" w:rsidRDefault="005677F5" w:rsidP="005677F5">
      <w:pPr>
        <w:rPr>
          <w:rFonts w:eastAsia="Arial" w:cs="Arial"/>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5677F5" w:rsidRPr="004D0354" w14:paraId="7ADCB353" w14:textId="77777777" w:rsidTr="001167A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27F926" w14:textId="77777777" w:rsidR="005677F5" w:rsidRPr="004D0354" w:rsidRDefault="005677F5" w:rsidP="001167A5">
            <w:pPr>
              <w:spacing w:line="276" w:lineRule="auto"/>
              <w:jc w:val="center"/>
              <w:rPr>
                <w:rFonts w:cs="Arial"/>
                <w:szCs w:val="20"/>
              </w:rPr>
            </w:pPr>
            <w:r w:rsidRPr="004D0354">
              <w:t>Non-existent</w:t>
            </w:r>
          </w:p>
          <w:sdt>
            <w:sdtPr>
              <w:rPr>
                <w:rFonts w:eastAsia="Arimo" w:cs="Arial"/>
                <w:szCs w:val="20"/>
              </w:rPr>
              <w:id w:val="-617906894"/>
              <w14:checkbox>
                <w14:checked w14:val="0"/>
                <w14:checkedState w14:val="2612" w14:font="MS Gothic"/>
                <w14:uncheckedState w14:val="2610" w14:font="MS Gothic"/>
              </w14:checkbox>
            </w:sdtPr>
            <w:sdtEndPr/>
            <w:sdtContent>
              <w:p w14:paraId="2F8DD0D7" w14:textId="77777777" w:rsidR="005677F5" w:rsidRPr="004D0354" w:rsidRDefault="005677F5" w:rsidP="001167A5">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919E1F" w14:textId="77777777" w:rsidR="005677F5" w:rsidRPr="004D0354" w:rsidRDefault="005677F5" w:rsidP="001167A5">
            <w:pPr>
              <w:spacing w:line="276" w:lineRule="auto"/>
              <w:jc w:val="center"/>
              <w:rPr>
                <w:rFonts w:cs="Arial"/>
                <w:szCs w:val="20"/>
              </w:rPr>
            </w:pPr>
            <w:r w:rsidRPr="004D0354">
              <w:t xml:space="preserve">Rudimentary </w:t>
            </w:r>
          </w:p>
          <w:sdt>
            <w:sdtPr>
              <w:rPr>
                <w:rFonts w:eastAsia="Arimo" w:cs="Arial"/>
                <w:szCs w:val="20"/>
              </w:rPr>
              <w:id w:val="1183170563"/>
              <w14:checkbox>
                <w14:checked w14:val="0"/>
                <w14:checkedState w14:val="2612" w14:font="MS Gothic"/>
                <w14:uncheckedState w14:val="2610" w14:font="MS Gothic"/>
              </w14:checkbox>
            </w:sdtPr>
            <w:sdtEndPr/>
            <w:sdtContent>
              <w:p w14:paraId="636C102F" w14:textId="77777777" w:rsidR="005677F5" w:rsidRPr="004D0354" w:rsidRDefault="005677F5" w:rsidP="001167A5">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B5BDE8" w14:textId="77777777" w:rsidR="005677F5" w:rsidRPr="004D0354" w:rsidRDefault="005677F5" w:rsidP="001167A5">
            <w:pPr>
              <w:spacing w:line="276" w:lineRule="auto"/>
              <w:jc w:val="center"/>
              <w:rPr>
                <w:rFonts w:cs="Arial"/>
                <w:szCs w:val="20"/>
              </w:rPr>
            </w:pPr>
            <w:r w:rsidRPr="004D0354">
              <w:t>Basic</w:t>
            </w:r>
          </w:p>
          <w:sdt>
            <w:sdtPr>
              <w:rPr>
                <w:rFonts w:eastAsia="Arimo" w:cs="Arial"/>
                <w:szCs w:val="20"/>
              </w:rPr>
              <w:id w:val="-1604804598"/>
              <w14:checkbox>
                <w14:checked w14:val="0"/>
                <w14:checkedState w14:val="2612" w14:font="MS Gothic"/>
                <w14:uncheckedState w14:val="2610" w14:font="MS Gothic"/>
              </w14:checkbox>
            </w:sdtPr>
            <w:sdtEndPr/>
            <w:sdtContent>
              <w:p w14:paraId="2E433729" w14:textId="77777777" w:rsidR="005677F5" w:rsidRPr="004D0354" w:rsidRDefault="005677F5" w:rsidP="001167A5">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A7FD7A" w14:textId="77777777" w:rsidR="005677F5" w:rsidRPr="004D0354" w:rsidRDefault="005677F5" w:rsidP="001167A5">
            <w:pPr>
              <w:spacing w:line="276" w:lineRule="auto"/>
              <w:jc w:val="center"/>
              <w:rPr>
                <w:rFonts w:cs="Arial"/>
                <w:szCs w:val="20"/>
              </w:rPr>
            </w:pPr>
            <w:r w:rsidRPr="004D0354">
              <w:t>Good</w:t>
            </w:r>
          </w:p>
          <w:sdt>
            <w:sdtPr>
              <w:rPr>
                <w:rFonts w:eastAsia="Arimo" w:cs="Arial"/>
                <w:szCs w:val="20"/>
              </w:rPr>
              <w:id w:val="-239710652"/>
              <w14:checkbox>
                <w14:checked w14:val="0"/>
                <w14:checkedState w14:val="2612" w14:font="MS Gothic"/>
                <w14:uncheckedState w14:val="2610" w14:font="MS Gothic"/>
              </w14:checkbox>
            </w:sdtPr>
            <w:sdtEndPr/>
            <w:sdtContent>
              <w:p w14:paraId="3EB42C81" w14:textId="77777777" w:rsidR="005677F5" w:rsidRPr="004D0354" w:rsidRDefault="005677F5" w:rsidP="001167A5">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1C1C05" w14:textId="77777777" w:rsidR="005677F5" w:rsidRPr="004D0354" w:rsidRDefault="005677F5" w:rsidP="001167A5">
            <w:pPr>
              <w:spacing w:line="276" w:lineRule="auto"/>
              <w:jc w:val="center"/>
              <w:rPr>
                <w:rFonts w:cs="Arial"/>
                <w:szCs w:val="20"/>
              </w:rPr>
            </w:pPr>
            <w:r w:rsidRPr="004D0354">
              <w:t>Very good</w:t>
            </w:r>
          </w:p>
          <w:sdt>
            <w:sdtPr>
              <w:rPr>
                <w:rFonts w:eastAsia="Arimo" w:cs="Arial"/>
                <w:szCs w:val="20"/>
              </w:rPr>
              <w:id w:val="-457573293"/>
              <w14:checkbox>
                <w14:checked w14:val="0"/>
                <w14:checkedState w14:val="2612" w14:font="MS Gothic"/>
                <w14:uncheckedState w14:val="2610" w14:font="MS Gothic"/>
              </w14:checkbox>
            </w:sdtPr>
            <w:sdtEndPr/>
            <w:sdtContent>
              <w:p w14:paraId="4E6BA669" w14:textId="77777777" w:rsidR="005677F5" w:rsidRPr="004D0354" w:rsidRDefault="005677F5" w:rsidP="001167A5">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2DBE5A3" w14:textId="77777777" w:rsidR="005677F5" w:rsidRPr="004D0354" w:rsidRDefault="005677F5" w:rsidP="001167A5">
            <w:pPr>
              <w:spacing w:line="276" w:lineRule="auto"/>
              <w:jc w:val="center"/>
              <w:rPr>
                <w:rFonts w:cs="Arial"/>
                <w:szCs w:val="20"/>
              </w:rPr>
            </w:pPr>
            <w:r w:rsidRPr="004D0354">
              <w:t>Excellent</w:t>
            </w:r>
          </w:p>
          <w:sdt>
            <w:sdtPr>
              <w:rPr>
                <w:rFonts w:eastAsia="Arimo" w:cs="Arial"/>
                <w:szCs w:val="20"/>
              </w:rPr>
              <w:id w:val="1946414939"/>
              <w14:checkbox>
                <w14:checked w14:val="0"/>
                <w14:checkedState w14:val="2612" w14:font="MS Gothic"/>
                <w14:uncheckedState w14:val="2610" w14:font="MS Gothic"/>
              </w14:checkbox>
            </w:sdtPr>
            <w:sdtEndPr/>
            <w:sdtContent>
              <w:p w14:paraId="19054960" w14:textId="77777777" w:rsidR="005677F5" w:rsidRPr="004D0354" w:rsidRDefault="005677F5" w:rsidP="001167A5">
                <w:pPr>
                  <w:spacing w:line="276" w:lineRule="auto"/>
                  <w:jc w:val="center"/>
                  <w:rPr>
                    <w:rFonts w:cs="Arial"/>
                    <w:szCs w:val="20"/>
                  </w:rPr>
                </w:pPr>
                <w:r w:rsidRPr="004D0354">
                  <w:rPr>
                    <w:rFonts w:ascii="MS Gothic" w:eastAsia="MS Gothic" w:hAnsi="MS Gothic" w:cs="Arial"/>
                    <w:szCs w:val="20"/>
                  </w:rPr>
                  <w:t>☐</w:t>
                </w:r>
              </w:p>
            </w:sdtContent>
          </w:sdt>
        </w:tc>
      </w:tr>
      <w:tr w:rsidR="005677F5" w:rsidRPr="004D0354" w14:paraId="5ECD42E7" w14:textId="77777777" w:rsidTr="001167A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873FB" w14:textId="77777777" w:rsidR="005677F5" w:rsidRPr="004D0354" w:rsidRDefault="005677F5" w:rsidP="001167A5">
            <w:pPr>
              <w:spacing w:line="276" w:lineRule="auto"/>
              <w:rPr>
                <w:rFonts w:cs="Arial"/>
                <w:color w:val="005F9A"/>
                <w:szCs w:val="20"/>
              </w:rPr>
            </w:pPr>
            <w:r w:rsidRPr="004D0354">
              <w:rPr>
                <w:color w:val="005F9A"/>
              </w:rPr>
              <w:t>Evidence for this assessment criterion:</w:t>
            </w:r>
          </w:p>
          <w:p w14:paraId="2DE655B4" w14:textId="77777777" w:rsidR="005677F5" w:rsidRPr="004D0354" w:rsidRDefault="005677F5" w:rsidP="001167A5">
            <w:pPr>
              <w:spacing w:line="276" w:lineRule="auto"/>
              <w:rPr>
                <w:rFonts w:cs="Arial"/>
                <w:color w:val="0000FF"/>
                <w:sz w:val="18"/>
                <w:szCs w:val="18"/>
              </w:rPr>
            </w:pPr>
          </w:p>
          <w:p w14:paraId="7872950E" w14:textId="77777777" w:rsidR="005677F5" w:rsidRPr="004D0354" w:rsidRDefault="005677F5" w:rsidP="001167A5">
            <w:pPr>
              <w:spacing w:line="276" w:lineRule="auto"/>
              <w:rPr>
                <w:rFonts w:cs="Arial"/>
                <w:color w:val="0000FF"/>
                <w:sz w:val="18"/>
                <w:szCs w:val="18"/>
              </w:rPr>
            </w:pPr>
          </w:p>
        </w:tc>
      </w:tr>
    </w:tbl>
    <w:p w14:paraId="11824B22" w14:textId="22107838" w:rsidR="00295648" w:rsidRPr="004D0354" w:rsidRDefault="00295648" w:rsidP="001030B6">
      <w:pPr>
        <w:pStyle w:val="Heading4"/>
        <w:rPr>
          <w:rFonts w:cstheme="majorBidi"/>
        </w:rPr>
      </w:pPr>
      <w:r w:rsidRPr="004D0354">
        <w:t xml:space="preserve">Assessment criterion </w:t>
      </w:r>
      <w:r w:rsidR="005677F5" w:rsidRPr="004D0354">
        <w:t>2</w:t>
      </w:r>
      <w:r w:rsidRPr="004D0354">
        <w:t xml:space="preserve">: </w:t>
      </w:r>
      <w:r w:rsidR="00357C40" w:rsidRPr="004D0354">
        <w:t>Y</w:t>
      </w:r>
      <w:r w:rsidRPr="004D0354">
        <w:t xml:space="preserve">outh engagement </w:t>
      </w:r>
      <w:r w:rsidR="00357C40" w:rsidRPr="004D0354">
        <w:t>opportunities</w:t>
      </w:r>
    </w:p>
    <w:p w14:paraId="4E891A90" w14:textId="69C3D2AB" w:rsidR="00295648" w:rsidRPr="004D0354" w:rsidRDefault="00357C40" w:rsidP="0043584A">
      <w:pPr>
        <w:rPr>
          <w:rFonts w:eastAsia="Arial" w:cs="Arial"/>
          <w:szCs w:val="20"/>
        </w:rPr>
      </w:pPr>
      <w:r w:rsidRPr="004D0354">
        <w:t>Parliament provides young people with meaningful opportunities to engage in core aspects of parliamentary work, including the work of its committees</w:t>
      </w:r>
      <w:r w:rsidR="00295648" w:rsidRPr="004D0354">
        <w:t>.</w:t>
      </w:r>
      <w:r w:rsidRPr="004D0354">
        <w:t xml:space="preserve"> Such forms of engagement are substantive and influence parliamentary decision-making.</w:t>
      </w:r>
    </w:p>
    <w:p w14:paraId="7CCCDD87" w14:textId="77777777" w:rsidR="00295648" w:rsidRPr="004D0354" w:rsidRDefault="00295648" w:rsidP="0043584A">
      <w:pPr>
        <w:rPr>
          <w:rFonts w:eastAsia="Arial" w:cs="Arial"/>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43584A" w:rsidRPr="004D0354" w14:paraId="36A7194F"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BDC2BA" w14:textId="77777777" w:rsidR="0043584A" w:rsidRPr="004D0354" w:rsidRDefault="0043584A">
            <w:pPr>
              <w:spacing w:line="276" w:lineRule="auto"/>
              <w:jc w:val="center"/>
              <w:rPr>
                <w:rFonts w:cs="Arial"/>
                <w:szCs w:val="20"/>
              </w:rPr>
            </w:pPr>
            <w:r w:rsidRPr="004D0354">
              <w:t>Non-existent</w:t>
            </w:r>
          </w:p>
          <w:sdt>
            <w:sdtPr>
              <w:rPr>
                <w:rFonts w:eastAsia="Arimo" w:cs="Arial"/>
                <w:szCs w:val="20"/>
              </w:rPr>
              <w:id w:val="-893574308"/>
              <w14:checkbox>
                <w14:checked w14:val="0"/>
                <w14:checkedState w14:val="2612" w14:font="MS Gothic"/>
                <w14:uncheckedState w14:val="2610" w14:font="MS Gothic"/>
              </w14:checkbox>
            </w:sdtPr>
            <w:sdtEndPr/>
            <w:sdtContent>
              <w:p w14:paraId="20E416F1"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50D176" w14:textId="77777777" w:rsidR="0043584A" w:rsidRPr="004D0354" w:rsidRDefault="0043584A">
            <w:pPr>
              <w:spacing w:line="276" w:lineRule="auto"/>
              <w:jc w:val="center"/>
              <w:rPr>
                <w:rFonts w:cs="Arial"/>
                <w:szCs w:val="20"/>
              </w:rPr>
            </w:pPr>
            <w:r w:rsidRPr="004D0354">
              <w:t xml:space="preserve">Rudimentary </w:t>
            </w:r>
          </w:p>
          <w:sdt>
            <w:sdtPr>
              <w:rPr>
                <w:rFonts w:eastAsia="Arimo" w:cs="Arial"/>
                <w:szCs w:val="20"/>
              </w:rPr>
              <w:id w:val="-780109188"/>
              <w14:checkbox>
                <w14:checked w14:val="0"/>
                <w14:checkedState w14:val="2612" w14:font="MS Gothic"/>
                <w14:uncheckedState w14:val="2610" w14:font="MS Gothic"/>
              </w14:checkbox>
            </w:sdtPr>
            <w:sdtEndPr/>
            <w:sdtContent>
              <w:p w14:paraId="5C807D03"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48B5DB" w14:textId="77777777" w:rsidR="0043584A" w:rsidRPr="004D0354" w:rsidRDefault="0043584A">
            <w:pPr>
              <w:spacing w:line="276" w:lineRule="auto"/>
              <w:jc w:val="center"/>
              <w:rPr>
                <w:rFonts w:cs="Arial"/>
                <w:szCs w:val="20"/>
              </w:rPr>
            </w:pPr>
            <w:r w:rsidRPr="004D0354">
              <w:t>Basic</w:t>
            </w:r>
          </w:p>
          <w:sdt>
            <w:sdtPr>
              <w:rPr>
                <w:rFonts w:eastAsia="Arimo" w:cs="Arial"/>
                <w:szCs w:val="20"/>
              </w:rPr>
              <w:id w:val="1076401799"/>
              <w14:checkbox>
                <w14:checked w14:val="0"/>
                <w14:checkedState w14:val="2612" w14:font="MS Gothic"/>
                <w14:uncheckedState w14:val="2610" w14:font="MS Gothic"/>
              </w14:checkbox>
            </w:sdtPr>
            <w:sdtEndPr/>
            <w:sdtContent>
              <w:p w14:paraId="28755D44"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87B0DA" w14:textId="77777777" w:rsidR="0043584A" w:rsidRPr="004D0354" w:rsidRDefault="0043584A">
            <w:pPr>
              <w:spacing w:line="276" w:lineRule="auto"/>
              <w:jc w:val="center"/>
              <w:rPr>
                <w:rFonts w:cs="Arial"/>
                <w:szCs w:val="20"/>
              </w:rPr>
            </w:pPr>
            <w:r w:rsidRPr="004D0354">
              <w:t>Good</w:t>
            </w:r>
          </w:p>
          <w:sdt>
            <w:sdtPr>
              <w:rPr>
                <w:rFonts w:eastAsia="Arimo" w:cs="Arial"/>
                <w:szCs w:val="20"/>
              </w:rPr>
              <w:id w:val="412745261"/>
              <w14:checkbox>
                <w14:checked w14:val="0"/>
                <w14:checkedState w14:val="2612" w14:font="MS Gothic"/>
                <w14:uncheckedState w14:val="2610" w14:font="MS Gothic"/>
              </w14:checkbox>
            </w:sdtPr>
            <w:sdtEndPr/>
            <w:sdtContent>
              <w:p w14:paraId="2598690C"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02C0A2" w14:textId="77777777" w:rsidR="0043584A" w:rsidRPr="004D0354" w:rsidRDefault="0043584A">
            <w:pPr>
              <w:spacing w:line="276" w:lineRule="auto"/>
              <w:jc w:val="center"/>
              <w:rPr>
                <w:rFonts w:cs="Arial"/>
                <w:szCs w:val="20"/>
              </w:rPr>
            </w:pPr>
            <w:r w:rsidRPr="004D0354">
              <w:t>Very good</w:t>
            </w:r>
          </w:p>
          <w:sdt>
            <w:sdtPr>
              <w:rPr>
                <w:rFonts w:eastAsia="Arimo" w:cs="Arial"/>
                <w:szCs w:val="20"/>
              </w:rPr>
              <w:id w:val="2049875823"/>
              <w14:checkbox>
                <w14:checked w14:val="0"/>
                <w14:checkedState w14:val="2612" w14:font="MS Gothic"/>
                <w14:uncheckedState w14:val="2610" w14:font="MS Gothic"/>
              </w14:checkbox>
            </w:sdtPr>
            <w:sdtEndPr/>
            <w:sdtContent>
              <w:p w14:paraId="7BA4E76E"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04F6C56" w14:textId="77777777" w:rsidR="0043584A" w:rsidRPr="004D0354" w:rsidRDefault="0043584A">
            <w:pPr>
              <w:spacing w:line="276" w:lineRule="auto"/>
              <w:jc w:val="center"/>
              <w:rPr>
                <w:rFonts w:cs="Arial"/>
                <w:szCs w:val="20"/>
              </w:rPr>
            </w:pPr>
            <w:r w:rsidRPr="004D0354">
              <w:t>Excellent</w:t>
            </w:r>
          </w:p>
          <w:sdt>
            <w:sdtPr>
              <w:rPr>
                <w:rFonts w:eastAsia="Arimo" w:cs="Arial"/>
                <w:szCs w:val="20"/>
              </w:rPr>
              <w:id w:val="-989396753"/>
              <w14:checkbox>
                <w14:checked w14:val="0"/>
                <w14:checkedState w14:val="2612" w14:font="MS Gothic"/>
                <w14:uncheckedState w14:val="2610" w14:font="MS Gothic"/>
              </w14:checkbox>
            </w:sdtPr>
            <w:sdtEndPr/>
            <w:sdtContent>
              <w:p w14:paraId="01FBDF03"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r>
      <w:tr w:rsidR="0043584A" w:rsidRPr="004D0354" w14:paraId="35D73EC5"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2BBC9" w14:textId="77777777" w:rsidR="0043584A" w:rsidRPr="004D0354" w:rsidRDefault="0043584A">
            <w:pPr>
              <w:spacing w:line="276" w:lineRule="auto"/>
              <w:rPr>
                <w:rFonts w:cs="Arial"/>
                <w:color w:val="005F9A"/>
                <w:szCs w:val="20"/>
              </w:rPr>
            </w:pPr>
            <w:r w:rsidRPr="004D0354">
              <w:rPr>
                <w:color w:val="005F9A"/>
              </w:rPr>
              <w:t>Evidence for this assessment criterion:</w:t>
            </w:r>
          </w:p>
          <w:p w14:paraId="096AEE9B" w14:textId="77777777" w:rsidR="0043584A" w:rsidRPr="004D0354" w:rsidRDefault="0043584A">
            <w:pPr>
              <w:spacing w:line="276" w:lineRule="auto"/>
              <w:rPr>
                <w:rFonts w:cs="Arial"/>
                <w:color w:val="0000FF"/>
                <w:sz w:val="18"/>
                <w:szCs w:val="18"/>
              </w:rPr>
            </w:pPr>
          </w:p>
          <w:p w14:paraId="665068F4" w14:textId="77777777" w:rsidR="0043584A" w:rsidRPr="004D0354" w:rsidRDefault="0043584A">
            <w:pPr>
              <w:spacing w:line="276" w:lineRule="auto"/>
              <w:rPr>
                <w:rFonts w:cs="Arial"/>
                <w:color w:val="0000FF"/>
                <w:sz w:val="18"/>
                <w:szCs w:val="18"/>
              </w:rPr>
            </w:pPr>
          </w:p>
        </w:tc>
      </w:tr>
    </w:tbl>
    <w:p w14:paraId="3AC863FD" w14:textId="70B606ED" w:rsidR="00295648" w:rsidRPr="004D0354" w:rsidRDefault="00295648" w:rsidP="001030B6">
      <w:pPr>
        <w:pStyle w:val="Heading4"/>
      </w:pPr>
      <w:r w:rsidRPr="004D0354">
        <w:t xml:space="preserve">Assessment criterion </w:t>
      </w:r>
      <w:r w:rsidR="00182862" w:rsidRPr="004D0354">
        <w:t>3</w:t>
      </w:r>
      <w:r w:rsidRPr="004D0354">
        <w:t xml:space="preserve">: </w:t>
      </w:r>
      <w:r w:rsidR="00357C40" w:rsidRPr="004D0354">
        <w:t>Youth inclusion and education programmes</w:t>
      </w:r>
    </w:p>
    <w:p w14:paraId="34B0B55B" w14:textId="1D714B3B" w:rsidR="00295648" w:rsidRPr="004D0354" w:rsidRDefault="00C6700B" w:rsidP="0043584A">
      <w:pPr>
        <w:rPr>
          <w:rFonts w:eastAsia="Arial" w:cs="Arial"/>
          <w:color w:val="000000"/>
          <w:szCs w:val="20"/>
        </w:rPr>
      </w:pPr>
      <w:r w:rsidRPr="004D0354">
        <w:t xml:space="preserve">Parliament has developed diverse, </w:t>
      </w:r>
      <w:proofErr w:type="gramStart"/>
      <w:r w:rsidRPr="004D0354">
        <w:t>meaningful</w:t>
      </w:r>
      <w:proofErr w:type="gramEnd"/>
      <w:r w:rsidRPr="004D0354">
        <w:t xml:space="preserve"> and youth-friendly programmes for youth inclusion and education, including programmes developed in conjunction with schools, universities and youth organizations</w:t>
      </w:r>
      <w:r w:rsidR="00295648" w:rsidRPr="004D0354">
        <w:rPr>
          <w:color w:val="000000"/>
        </w:rPr>
        <w:t xml:space="preserve">. </w:t>
      </w:r>
    </w:p>
    <w:p w14:paraId="7A2A32BB" w14:textId="77777777" w:rsidR="00295648" w:rsidRPr="004D0354" w:rsidRDefault="00295648" w:rsidP="0043584A">
      <w:pPr>
        <w:rPr>
          <w:rFonts w:eastAsia="Arial" w:cs="Arial"/>
          <w:color w:val="000000"/>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43584A" w:rsidRPr="004D0354" w14:paraId="4CE736C8"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73E5A1" w14:textId="77777777" w:rsidR="0043584A" w:rsidRPr="004D0354" w:rsidRDefault="0043584A">
            <w:pPr>
              <w:spacing w:line="276" w:lineRule="auto"/>
              <w:jc w:val="center"/>
              <w:rPr>
                <w:rFonts w:cs="Arial"/>
                <w:szCs w:val="20"/>
              </w:rPr>
            </w:pPr>
            <w:r w:rsidRPr="004D0354">
              <w:t>Non-existent</w:t>
            </w:r>
          </w:p>
          <w:sdt>
            <w:sdtPr>
              <w:rPr>
                <w:rFonts w:eastAsia="Arimo" w:cs="Arial"/>
                <w:szCs w:val="20"/>
              </w:rPr>
              <w:id w:val="775909914"/>
              <w14:checkbox>
                <w14:checked w14:val="0"/>
                <w14:checkedState w14:val="2612" w14:font="MS Gothic"/>
                <w14:uncheckedState w14:val="2610" w14:font="MS Gothic"/>
              </w14:checkbox>
            </w:sdtPr>
            <w:sdtEndPr/>
            <w:sdtContent>
              <w:p w14:paraId="323D184C"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D9E809" w14:textId="77777777" w:rsidR="0043584A" w:rsidRPr="004D0354" w:rsidRDefault="0043584A">
            <w:pPr>
              <w:spacing w:line="276" w:lineRule="auto"/>
              <w:jc w:val="center"/>
              <w:rPr>
                <w:rFonts w:cs="Arial"/>
                <w:szCs w:val="20"/>
              </w:rPr>
            </w:pPr>
            <w:r w:rsidRPr="004D0354">
              <w:t xml:space="preserve">Rudimentary </w:t>
            </w:r>
          </w:p>
          <w:sdt>
            <w:sdtPr>
              <w:rPr>
                <w:rFonts w:eastAsia="Arimo" w:cs="Arial"/>
                <w:szCs w:val="20"/>
              </w:rPr>
              <w:id w:val="-1280556361"/>
              <w14:checkbox>
                <w14:checked w14:val="0"/>
                <w14:checkedState w14:val="2612" w14:font="MS Gothic"/>
                <w14:uncheckedState w14:val="2610" w14:font="MS Gothic"/>
              </w14:checkbox>
            </w:sdtPr>
            <w:sdtEndPr/>
            <w:sdtContent>
              <w:p w14:paraId="7EA78598"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BD20CF" w14:textId="77777777" w:rsidR="0043584A" w:rsidRPr="004D0354" w:rsidRDefault="0043584A">
            <w:pPr>
              <w:spacing w:line="276" w:lineRule="auto"/>
              <w:jc w:val="center"/>
              <w:rPr>
                <w:rFonts w:cs="Arial"/>
                <w:szCs w:val="20"/>
              </w:rPr>
            </w:pPr>
            <w:r w:rsidRPr="004D0354">
              <w:t>Basic</w:t>
            </w:r>
          </w:p>
          <w:sdt>
            <w:sdtPr>
              <w:rPr>
                <w:rFonts w:eastAsia="Arimo" w:cs="Arial"/>
                <w:szCs w:val="20"/>
              </w:rPr>
              <w:id w:val="-1292900609"/>
              <w14:checkbox>
                <w14:checked w14:val="0"/>
                <w14:checkedState w14:val="2612" w14:font="MS Gothic"/>
                <w14:uncheckedState w14:val="2610" w14:font="MS Gothic"/>
              </w14:checkbox>
            </w:sdtPr>
            <w:sdtEndPr/>
            <w:sdtContent>
              <w:p w14:paraId="21A0AA80"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B9A95F" w14:textId="77777777" w:rsidR="0043584A" w:rsidRPr="004D0354" w:rsidRDefault="0043584A">
            <w:pPr>
              <w:spacing w:line="276" w:lineRule="auto"/>
              <w:jc w:val="center"/>
              <w:rPr>
                <w:rFonts w:cs="Arial"/>
                <w:szCs w:val="20"/>
              </w:rPr>
            </w:pPr>
            <w:r w:rsidRPr="004D0354">
              <w:t>Good</w:t>
            </w:r>
          </w:p>
          <w:sdt>
            <w:sdtPr>
              <w:rPr>
                <w:rFonts w:eastAsia="Arimo" w:cs="Arial"/>
                <w:szCs w:val="20"/>
              </w:rPr>
              <w:id w:val="1132993904"/>
              <w14:checkbox>
                <w14:checked w14:val="0"/>
                <w14:checkedState w14:val="2612" w14:font="MS Gothic"/>
                <w14:uncheckedState w14:val="2610" w14:font="MS Gothic"/>
              </w14:checkbox>
            </w:sdtPr>
            <w:sdtEndPr/>
            <w:sdtContent>
              <w:p w14:paraId="0CA3762F"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F9A64A" w14:textId="77777777" w:rsidR="0043584A" w:rsidRPr="004D0354" w:rsidRDefault="0043584A">
            <w:pPr>
              <w:spacing w:line="276" w:lineRule="auto"/>
              <w:jc w:val="center"/>
              <w:rPr>
                <w:rFonts w:cs="Arial"/>
                <w:szCs w:val="20"/>
              </w:rPr>
            </w:pPr>
            <w:r w:rsidRPr="004D0354">
              <w:t>Very good</w:t>
            </w:r>
          </w:p>
          <w:sdt>
            <w:sdtPr>
              <w:rPr>
                <w:rFonts w:eastAsia="Arimo" w:cs="Arial"/>
                <w:szCs w:val="20"/>
              </w:rPr>
              <w:id w:val="-1410913205"/>
              <w14:checkbox>
                <w14:checked w14:val="0"/>
                <w14:checkedState w14:val="2612" w14:font="MS Gothic"/>
                <w14:uncheckedState w14:val="2610" w14:font="MS Gothic"/>
              </w14:checkbox>
            </w:sdtPr>
            <w:sdtEndPr/>
            <w:sdtContent>
              <w:p w14:paraId="056D4E16" w14:textId="77777777" w:rsidR="0043584A" w:rsidRPr="004D0354" w:rsidRDefault="0043584A">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D59565E" w14:textId="77777777" w:rsidR="0043584A" w:rsidRPr="004D0354" w:rsidRDefault="0043584A">
            <w:pPr>
              <w:spacing w:line="276" w:lineRule="auto"/>
              <w:jc w:val="center"/>
              <w:rPr>
                <w:rFonts w:cs="Arial"/>
                <w:szCs w:val="20"/>
              </w:rPr>
            </w:pPr>
            <w:r w:rsidRPr="004D0354">
              <w:t>Excellent</w:t>
            </w:r>
          </w:p>
          <w:sdt>
            <w:sdtPr>
              <w:rPr>
                <w:rFonts w:eastAsia="Arimo" w:cs="Arial"/>
                <w:szCs w:val="20"/>
              </w:rPr>
              <w:id w:val="-1736850649"/>
              <w14:checkbox>
                <w14:checked w14:val="0"/>
                <w14:checkedState w14:val="2612" w14:font="MS Gothic"/>
                <w14:uncheckedState w14:val="2610" w14:font="MS Gothic"/>
              </w14:checkbox>
            </w:sdtPr>
            <w:sdtEndPr/>
            <w:sdtContent>
              <w:p w14:paraId="77532CB6" w14:textId="77777777" w:rsidR="0043584A" w:rsidRPr="004D0354" w:rsidRDefault="0043584A">
                <w:pPr>
                  <w:spacing w:line="276" w:lineRule="auto"/>
                  <w:jc w:val="center"/>
                  <w:rPr>
                    <w:rFonts w:cs="Arial"/>
                    <w:szCs w:val="20"/>
                  </w:rPr>
                </w:pPr>
                <w:r w:rsidRPr="004D0354">
                  <w:rPr>
                    <w:rFonts w:ascii="MS Gothic" w:eastAsia="MS Gothic" w:hAnsi="MS Gothic" w:cs="Arial"/>
                    <w:szCs w:val="20"/>
                  </w:rPr>
                  <w:t>☐</w:t>
                </w:r>
              </w:p>
            </w:sdtContent>
          </w:sdt>
        </w:tc>
      </w:tr>
      <w:tr w:rsidR="0043584A" w:rsidRPr="004D0354" w14:paraId="1E9B3306"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D6973" w14:textId="77777777" w:rsidR="0043584A" w:rsidRPr="004D0354" w:rsidRDefault="0043584A">
            <w:pPr>
              <w:spacing w:line="276" w:lineRule="auto"/>
              <w:rPr>
                <w:rFonts w:cs="Arial"/>
                <w:color w:val="005F9A"/>
                <w:szCs w:val="20"/>
              </w:rPr>
            </w:pPr>
            <w:r w:rsidRPr="004D0354">
              <w:rPr>
                <w:color w:val="005F9A"/>
              </w:rPr>
              <w:t>Evidence for this assessment criterion:</w:t>
            </w:r>
          </w:p>
          <w:p w14:paraId="323355F7" w14:textId="77777777" w:rsidR="0043584A" w:rsidRPr="004D0354" w:rsidRDefault="0043584A">
            <w:pPr>
              <w:spacing w:line="276" w:lineRule="auto"/>
              <w:rPr>
                <w:rFonts w:cs="Arial"/>
                <w:color w:val="0000FF"/>
                <w:sz w:val="18"/>
                <w:szCs w:val="18"/>
              </w:rPr>
            </w:pPr>
          </w:p>
          <w:p w14:paraId="7675C1DD" w14:textId="77777777" w:rsidR="0043584A" w:rsidRPr="004D0354" w:rsidRDefault="0043584A">
            <w:pPr>
              <w:spacing w:line="276" w:lineRule="auto"/>
              <w:rPr>
                <w:rFonts w:cs="Arial"/>
                <w:color w:val="0000FF"/>
                <w:sz w:val="18"/>
                <w:szCs w:val="18"/>
              </w:rPr>
            </w:pPr>
          </w:p>
        </w:tc>
      </w:tr>
    </w:tbl>
    <w:p w14:paraId="7510CFE3" w14:textId="77777777" w:rsidR="00182862" w:rsidRPr="004D0354" w:rsidRDefault="00182862" w:rsidP="004D0354"/>
    <w:p w14:paraId="5FC1070F" w14:textId="2F324121" w:rsidR="008259E2" w:rsidRPr="004D0354" w:rsidRDefault="008259E2" w:rsidP="001030B6">
      <w:pPr>
        <w:pStyle w:val="Heading4"/>
      </w:pPr>
      <w:r w:rsidRPr="004D0354">
        <w:t xml:space="preserve">Assessment criterion </w:t>
      </w:r>
      <w:r w:rsidR="00182862" w:rsidRPr="004D0354">
        <w:t>4</w:t>
      </w:r>
      <w:r w:rsidRPr="004D0354">
        <w:t>: Continuous improvement</w:t>
      </w:r>
    </w:p>
    <w:p w14:paraId="0B38A138" w14:textId="77777777" w:rsidR="008259E2" w:rsidRPr="004D0354" w:rsidRDefault="008259E2" w:rsidP="008259E2">
      <w:pPr>
        <w:rPr>
          <w:rFonts w:cs="Arial"/>
          <w:sz w:val="12"/>
          <w:szCs w:val="12"/>
          <w:lang w:eastAsia="en-GB"/>
        </w:rPr>
      </w:pPr>
    </w:p>
    <w:p w14:paraId="168DA1DC" w14:textId="5D3B8AC4" w:rsidR="008259E2" w:rsidRPr="004D0354" w:rsidRDefault="00B80189" w:rsidP="008259E2">
      <w:pPr>
        <w:rPr>
          <w:rFonts w:eastAsia="Arial" w:cs="Arial"/>
          <w:color w:val="000000"/>
          <w:szCs w:val="20"/>
        </w:rPr>
      </w:pPr>
      <w:r w:rsidRPr="004D0354">
        <w:t>Parliament gathers data and participant feedback on its youth inclusion and education programmes for the purpose of continuous improvement</w:t>
      </w:r>
      <w:r w:rsidR="008259E2" w:rsidRPr="004D0354">
        <w:rPr>
          <w:color w:val="000000"/>
        </w:rPr>
        <w:t xml:space="preserve">. </w:t>
      </w:r>
    </w:p>
    <w:p w14:paraId="52873775" w14:textId="77777777" w:rsidR="008259E2" w:rsidRPr="004D0354" w:rsidRDefault="008259E2" w:rsidP="008259E2">
      <w:pPr>
        <w:rPr>
          <w:rFonts w:eastAsia="Arial" w:cs="Arial"/>
          <w:color w:val="000000"/>
          <w:szCs w:val="20"/>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8259E2" w:rsidRPr="004D0354" w14:paraId="643BE347" w14:textId="77777777" w:rsidTr="00574C2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6768BC" w14:textId="77777777" w:rsidR="008259E2" w:rsidRPr="004D0354" w:rsidRDefault="008259E2" w:rsidP="00574C2F">
            <w:pPr>
              <w:spacing w:line="276" w:lineRule="auto"/>
              <w:jc w:val="center"/>
              <w:rPr>
                <w:rFonts w:cs="Arial"/>
                <w:szCs w:val="20"/>
              </w:rPr>
            </w:pPr>
            <w:r w:rsidRPr="004D0354">
              <w:t>Non-existent</w:t>
            </w:r>
          </w:p>
          <w:sdt>
            <w:sdtPr>
              <w:rPr>
                <w:rFonts w:eastAsia="Arimo" w:cs="Arial"/>
                <w:szCs w:val="20"/>
              </w:rPr>
              <w:id w:val="1345820374"/>
              <w14:checkbox>
                <w14:checked w14:val="0"/>
                <w14:checkedState w14:val="2612" w14:font="MS Gothic"/>
                <w14:uncheckedState w14:val="2610" w14:font="MS Gothic"/>
              </w14:checkbox>
            </w:sdtPr>
            <w:sdtEndPr/>
            <w:sdtContent>
              <w:p w14:paraId="2229B6FC" w14:textId="77777777" w:rsidR="008259E2" w:rsidRPr="004D0354" w:rsidRDefault="008259E2" w:rsidP="00574C2F">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5DAE59" w14:textId="77777777" w:rsidR="008259E2" w:rsidRPr="004D0354" w:rsidRDefault="008259E2" w:rsidP="00574C2F">
            <w:pPr>
              <w:spacing w:line="276" w:lineRule="auto"/>
              <w:jc w:val="center"/>
              <w:rPr>
                <w:rFonts w:cs="Arial"/>
                <w:szCs w:val="20"/>
              </w:rPr>
            </w:pPr>
            <w:r w:rsidRPr="004D0354">
              <w:t xml:space="preserve">Rudimentary </w:t>
            </w:r>
          </w:p>
          <w:sdt>
            <w:sdtPr>
              <w:rPr>
                <w:rFonts w:eastAsia="Arimo" w:cs="Arial"/>
                <w:szCs w:val="20"/>
              </w:rPr>
              <w:id w:val="-243880991"/>
              <w14:checkbox>
                <w14:checked w14:val="0"/>
                <w14:checkedState w14:val="2612" w14:font="MS Gothic"/>
                <w14:uncheckedState w14:val="2610" w14:font="MS Gothic"/>
              </w14:checkbox>
            </w:sdtPr>
            <w:sdtEndPr/>
            <w:sdtContent>
              <w:p w14:paraId="65F66D23" w14:textId="77777777" w:rsidR="008259E2" w:rsidRPr="004D0354" w:rsidRDefault="008259E2" w:rsidP="00574C2F">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C5CBA1" w14:textId="77777777" w:rsidR="008259E2" w:rsidRPr="004D0354" w:rsidRDefault="008259E2" w:rsidP="00574C2F">
            <w:pPr>
              <w:spacing w:line="276" w:lineRule="auto"/>
              <w:jc w:val="center"/>
              <w:rPr>
                <w:rFonts w:cs="Arial"/>
                <w:szCs w:val="20"/>
              </w:rPr>
            </w:pPr>
            <w:r w:rsidRPr="004D0354">
              <w:t>Basic</w:t>
            </w:r>
          </w:p>
          <w:sdt>
            <w:sdtPr>
              <w:rPr>
                <w:rFonts w:eastAsia="Arimo" w:cs="Arial"/>
                <w:szCs w:val="20"/>
              </w:rPr>
              <w:id w:val="959761669"/>
              <w14:checkbox>
                <w14:checked w14:val="0"/>
                <w14:checkedState w14:val="2612" w14:font="MS Gothic"/>
                <w14:uncheckedState w14:val="2610" w14:font="MS Gothic"/>
              </w14:checkbox>
            </w:sdtPr>
            <w:sdtEndPr/>
            <w:sdtContent>
              <w:p w14:paraId="7421B940" w14:textId="77777777" w:rsidR="008259E2" w:rsidRPr="004D0354" w:rsidRDefault="008259E2" w:rsidP="00574C2F">
                <w:pPr>
                  <w:spacing w:line="276" w:lineRule="auto"/>
                  <w:jc w:val="center"/>
                  <w:rPr>
                    <w:rFonts w:cs="Arial"/>
                    <w:szCs w:val="20"/>
                  </w:rPr>
                </w:pPr>
                <w:r w:rsidRPr="004D0354">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CCBD51" w14:textId="77777777" w:rsidR="008259E2" w:rsidRPr="004D0354" w:rsidRDefault="008259E2" w:rsidP="00574C2F">
            <w:pPr>
              <w:spacing w:line="276" w:lineRule="auto"/>
              <w:jc w:val="center"/>
              <w:rPr>
                <w:rFonts w:cs="Arial"/>
                <w:szCs w:val="20"/>
              </w:rPr>
            </w:pPr>
            <w:r w:rsidRPr="004D0354">
              <w:t>Good</w:t>
            </w:r>
          </w:p>
          <w:sdt>
            <w:sdtPr>
              <w:rPr>
                <w:rFonts w:eastAsia="Arimo" w:cs="Arial"/>
                <w:szCs w:val="20"/>
              </w:rPr>
              <w:id w:val="-1751346076"/>
              <w14:checkbox>
                <w14:checked w14:val="0"/>
                <w14:checkedState w14:val="2612" w14:font="MS Gothic"/>
                <w14:uncheckedState w14:val="2610" w14:font="MS Gothic"/>
              </w14:checkbox>
            </w:sdtPr>
            <w:sdtEndPr/>
            <w:sdtContent>
              <w:p w14:paraId="6587AA02" w14:textId="77777777" w:rsidR="008259E2" w:rsidRPr="004D0354" w:rsidRDefault="008259E2" w:rsidP="00574C2F">
                <w:pPr>
                  <w:spacing w:line="276" w:lineRule="auto"/>
                  <w:jc w:val="center"/>
                  <w:rPr>
                    <w:rFonts w:cs="Arial"/>
                    <w:szCs w:val="20"/>
                  </w:rPr>
                </w:pPr>
                <w:r w:rsidRPr="004D0354">
                  <w:rPr>
                    <w:rFonts w:ascii="MS Gothic" w:eastAsia="MS Gothic" w:hAnsi="MS Gothic" w:cs="Aria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9209E9" w14:textId="77777777" w:rsidR="008259E2" w:rsidRPr="004D0354" w:rsidRDefault="008259E2" w:rsidP="00574C2F">
            <w:pPr>
              <w:spacing w:line="276" w:lineRule="auto"/>
              <w:jc w:val="center"/>
              <w:rPr>
                <w:rFonts w:cs="Arial"/>
                <w:szCs w:val="20"/>
              </w:rPr>
            </w:pPr>
            <w:r w:rsidRPr="004D0354">
              <w:t>Very good</w:t>
            </w:r>
          </w:p>
          <w:sdt>
            <w:sdtPr>
              <w:rPr>
                <w:rFonts w:eastAsia="Arimo" w:cs="Arial"/>
                <w:szCs w:val="20"/>
              </w:rPr>
              <w:id w:val="788705058"/>
              <w14:checkbox>
                <w14:checked w14:val="0"/>
                <w14:checkedState w14:val="2612" w14:font="MS Gothic"/>
                <w14:uncheckedState w14:val="2610" w14:font="MS Gothic"/>
              </w14:checkbox>
            </w:sdtPr>
            <w:sdtEndPr/>
            <w:sdtContent>
              <w:p w14:paraId="1D92FACD" w14:textId="77777777" w:rsidR="008259E2" w:rsidRPr="004D0354" w:rsidRDefault="008259E2" w:rsidP="00574C2F">
                <w:pPr>
                  <w:spacing w:line="276" w:lineRule="auto"/>
                  <w:jc w:val="center"/>
                  <w:rPr>
                    <w:rFonts w:cs="Arial"/>
                    <w:szCs w:val="20"/>
                  </w:rPr>
                </w:pPr>
                <w:r w:rsidRPr="004D0354">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AAC4511" w14:textId="77777777" w:rsidR="008259E2" w:rsidRPr="004D0354" w:rsidRDefault="008259E2" w:rsidP="00574C2F">
            <w:pPr>
              <w:spacing w:line="276" w:lineRule="auto"/>
              <w:jc w:val="center"/>
              <w:rPr>
                <w:rFonts w:cs="Arial"/>
                <w:szCs w:val="20"/>
              </w:rPr>
            </w:pPr>
            <w:r w:rsidRPr="004D0354">
              <w:t>Excellent</w:t>
            </w:r>
          </w:p>
          <w:sdt>
            <w:sdtPr>
              <w:rPr>
                <w:rFonts w:eastAsia="Arimo" w:cs="Arial"/>
                <w:szCs w:val="20"/>
              </w:rPr>
              <w:id w:val="-16313943"/>
              <w14:checkbox>
                <w14:checked w14:val="0"/>
                <w14:checkedState w14:val="2612" w14:font="MS Gothic"/>
                <w14:uncheckedState w14:val="2610" w14:font="MS Gothic"/>
              </w14:checkbox>
            </w:sdtPr>
            <w:sdtEndPr/>
            <w:sdtContent>
              <w:p w14:paraId="2DE278AA" w14:textId="77777777" w:rsidR="008259E2" w:rsidRPr="004D0354" w:rsidRDefault="008259E2" w:rsidP="00574C2F">
                <w:pPr>
                  <w:spacing w:line="276" w:lineRule="auto"/>
                  <w:jc w:val="center"/>
                  <w:rPr>
                    <w:rFonts w:cs="Arial"/>
                    <w:szCs w:val="20"/>
                  </w:rPr>
                </w:pPr>
                <w:r w:rsidRPr="004D0354">
                  <w:rPr>
                    <w:rFonts w:ascii="MS Gothic" w:eastAsia="MS Gothic" w:hAnsi="MS Gothic" w:cs="Arial"/>
                    <w:szCs w:val="20"/>
                  </w:rPr>
                  <w:t>☐</w:t>
                </w:r>
              </w:p>
            </w:sdtContent>
          </w:sdt>
        </w:tc>
      </w:tr>
      <w:tr w:rsidR="008259E2" w:rsidRPr="004D0354" w14:paraId="48ECD3A6" w14:textId="77777777" w:rsidTr="00574C2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B0C9B" w14:textId="77777777" w:rsidR="008259E2" w:rsidRPr="004D0354" w:rsidRDefault="008259E2" w:rsidP="00574C2F">
            <w:pPr>
              <w:spacing w:line="276" w:lineRule="auto"/>
              <w:rPr>
                <w:rFonts w:cs="Arial"/>
                <w:color w:val="005F9A"/>
                <w:szCs w:val="20"/>
              </w:rPr>
            </w:pPr>
            <w:r w:rsidRPr="004D0354">
              <w:rPr>
                <w:color w:val="005F9A"/>
              </w:rPr>
              <w:t>Evidence for this assessment criterion:</w:t>
            </w:r>
          </w:p>
          <w:p w14:paraId="396F9324" w14:textId="77777777" w:rsidR="008259E2" w:rsidRPr="004D0354" w:rsidRDefault="008259E2" w:rsidP="00574C2F">
            <w:pPr>
              <w:spacing w:line="276" w:lineRule="auto"/>
              <w:rPr>
                <w:rFonts w:cs="Arial"/>
                <w:color w:val="0000FF"/>
                <w:sz w:val="18"/>
                <w:szCs w:val="18"/>
              </w:rPr>
            </w:pPr>
          </w:p>
          <w:p w14:paraId="086C9716" w14:textId="77777777" w:rsidR="008259E2" w:rsidRPr="004D0354" w:rsidRDefault="008259E2" w:rsidP="00574C2F">
            <w:pPr>
              <w:spacing w:line="276" w:lineRule="auto"/>
              <w:rPr>
                <w:rFonts w:cs="Arial"/>
                <w:color w:val="0000FF"/>
                <w:sz w:val="18"/>
                <w:szCs w:val="18"/>
              </w:rPr>
            </w:pPr>
          </w:p>
        </w:tc>
      </w:tr>
    </w:tbl>
    <w:p w14:paraId="08DD13DC" w14:textId="71F1D674" w:rsidR="00CC0749" w:rsidRPr="004D0354" w:rsidRDefault="00CC0749" w:rsidP="00677367">
      <w:pPr>
        <w:pStyle w:val="section-title"/>
      </w:pPr>
      <w:r w:rsidRPr="004D0354">
        <w:t>Recommendations for change</w:t>
      </w:r>
    </w:p>
    <w:tbl>
      <w:tblPr>
        <w:tblStyle w:val="TableGrid"/>
        <w:tblW w:w="5000" w:type="pct"/>
        <w:tblCellMar>
          <w:left w:w="115" w:type="dxa"/>
          <w:right w:w="115" w:type="dxa"/>
        </w:tblCellMar>
        <w:tblLook w:val="04A0" w:firstRow="1" w:lastRow="0" w:firstColumn="1" w:lastColumn="0" w:noHBand="0" w:noVBand="1"/>
      </w:tblPr>
      <w:tblGrid>
        <w:gridCol w:w="8780"/>
      </w:tblGrid>
      <w:tr w:rsidR="00CC0749" w:rsidRPr="004D0354" w14:paraId="1D73706D" w14:textId="77777777" w:rsidTr="00CC0749">
        <w:trPr>
          <w:trHeight w:val="1440"/>
        </w:trPr>
        <w:tc>
          <w:tcPr>
            <w:tcW w:w="5000" w:type="pct"/>
            <w:tcBorders>
              <w:top w:val="single" w:sz="4" w:space="0" w:color="auto"/>
              <w:left w:val="single" w:sz="4" w:space="0" w:color="auto"/>
              <w:bottom w:val="single" w:sz="4" w:space="0" w:color="auto"/>
              <w:right w:val="single" w:sz="4" w:space="0" w:color="auto"/>
            </w:tcBorders>
          </w:tcPr>
          <w:p w14:paraId="244F9E2A" w14:textId="1A5E4034" w:rsidR="00CC0749" w:rsidRPr="004D0354" w:rsidRDefault="007D26BB" w:rsidP="007D26BB">
            <w:pPr>
              <w:rPr>
                <w:szCs w:val="20"/>
              </w:rPr>
            </w:pPr>
            <w:r w:rsidRPr="004D0354">
              <w:rPr>
                <w:i/>
                <w:shd w:val="clear" w:color="auto" w:fill="FFFFFF"/>
              </w:rPr>
              <w:t>Use this space to note down recommendations and ideas for strengthening rules and practice in this area.</w:t>
            </w:r>
          </w:p>
        </w:tc>
      </w:tr>
    </w:tbl>
    <w:p w14:paraId="4FBA3199" w14:textId="2CD1D525" w:rsidR="0043584A" w:rsidRPr="004D0354" w:rsidRDefault="00CC0749" w:rsidP="00677367">
      <w:pPr>
        <w:pStyle w:val="section-title"/>
      </w:pPr>
      <w:bookmarkStart w:id="11" w:name="_Hlk147308340"/>
      <w:r w:rsidRPr="004D0354">
        <w:t xml:space="preserve">Sources </w:t>
      </w:r>
      <w:r w:rsidR="009A142C" w:rsidRPr="004D0354">
        <w:t xml:space="preserve">and </w:t>
      </w:r>
      <w:r w:rsidRPr="004D0354">
        <w:t>further reading</w:t>
      </w:r>
    </w:p>
    <w:p w14:paraId="1DBE2E9B" w14:textId="208125BE" w:rsidR="00295648" w:rsidRPr="004D0354" w:rsidRDefault="005F0D28" w:rsidP="00CC0749">
      <w:pPr>
        <w:numPr>
          <w:ilvl w:val="0"/>
          <w:numId w:val="15"/>
        </w:numPr>
        <w:pBdr>
          <w:top w:val="nil"/>
          <w:left w:val="nil"/>
          <w:bottom w:val="nil"/>
          <w:right w:val="nil"/>
          <w:between w:val="nil"/>
        </w:pBdr>
        <w:ind w:left="562" w:hanging="562"/>
        <w:rPr>
          <w:rFonts w:eastAsia="Arial" w:cs="Arial"/>
          <w:szCs w:val="20"/>
        </w:rPr>
      </w:pPr>
      <w:r w:rsidRPr="004D0354">
        <w:rPr>
          <w:color w:val="000000"/>
        </w:rPr>
        <w:t>Inter-Parliamentary Union (IPU),</w:t>
      </w:r>
      <w:hyperlink r:id="rId35">
        <w:r w:rsidR="00295648" w:rsidRPr="004D0354">
          <w:rPr>
            <w:color w:val="000000"/>
          </w:rPr>
          <w:t xml:space="preserve"> </w:t>
        </w:r>
      </w:hyperlink>
      <w:hyperlink r:id="rId36">
        <w:r w:rsidR="001D15BF" w:rsidRPr="004D0354">
          <w:rPr>
            <w:rStyle w:val="Hyperlink"/>
            <w:i/>
            <w:iCs/>
          </w:rPr>
          <w:t>Y</w:t>
        </w:r>
        <w:r w:rsidR="00295648" w:rsidRPr="004D0354">
          <w:rPr>
            <w:rStyle w:val="Hyperlink"/>
            <w:i/>
            <w:iCs/>
          </w:rPr>
          <w:t>outh participation in the democratic process</w:t>
        </w:r>
      </w:hyperlink>
      <w:r w:rsidR="001D15BF" w:rsidRPr="004D0354">
        <w:t>, r</w:t>
      </w:r>
      <w:r w:rsidR="00295648" w:rsidRPr="004D0354">
        <w:t>esolution adopted by consensus by the 122nd IPU Assembly (2010).</w:t>
      </w:r>
    </w:p>
    <w:p w14:paraId="6FDA141E" w14:textId="4D6CD1C3" w:rsidR="0001091D" w:rsidRPr="004D0354" w:rsidRDefault="0001091D" w:rsidP="0001091D">
      <w:pPr>
        <w:numPr>
          <w:ilvl w:val="0"/>
          <w:numId w:val="15"/>
        </w:numPr>
        <w:pBdr>
          <w:top w:val="nil"/>
          <w:left w:val="nil"/>
          <w:bottom w:val="nil"/>
          <w:right w:val="nil"/>
          <w:between w:val="nil"/>
        </w:pBdr>
        <w:ind w:left="562" w:hanging="562"/>
        <w:rPr>
          <w:rFonts w:eastAsia="Arial" w:cs="Arial"/>
          <w:szCs w:val="20"/>
        </w:rPr>
      </w:pPr>
      <w:r w:rsidRPr="004D0354">
        <w:rPr>
          <w:color w:val="000000"/>
        </w:rPr>
        <w:t>IPU,</w:t>
      </w:r>
      <w:hyperlink r:id="rId37">
        <w:r w:rsidRPr="004D0354">
          <w:rPr>
            <w:color w:val="000000"/>
          </w:rPr>
          <w:t xml:space="preserve"> </w:t>
        </w:r>
      </w:hyperlink>
      <w:hyperlink r:id="rId38">
        <w:r w:rsidRPr="004D0354">
          <w:rPr>
            <w:rStyle w:val="Hyperlink"/>
            <w:i/>
            <w:iCs/>
          </w:rPr>
          <w:t>Handbook on Child Participation in Parliament</w:t>
        </w:r>
      </w:hyperlink>
      <w:r w:rsidRPr="004D0354">
        <w:rPr>
          <w:color w:val="000000"/>
        </w:rPr>
        <w:t xml:space="preserve"> (2011).</w:t>
      </w:r>
    </w:p>
    <w:p w14:paraId="63E72293" w14:textId="38D350CB" w:rsidR="00295648" w:rsidRPr="004D0354" w:rsidRDefault="00295648" w:rsidP="00CC0749">
      <w:pPr>
        <w:numPr>
          <w:ilvl w:val="0"/>
          <w:numId w:val="15"/>
        </w:numPr>
        <w:pBdr>
          <w:top w:val="nil"/>
          <w:left w:val="nil"/>
          <w:bottom w:val="nil"/>
          <w:right w:val="nil"/>
          <w:between w:val="nil"/>
        </w:pBdr>
        <w:ind w:left="562" w:hanging="562"/>
        <w:rPr>
          <w:rFonts w:eastAsia="Arial" w:cs="Arial"/>
          <w:color w:val="000000"/>
          <w:szCs w:val="20"/>
        </w:rPr>
      </w:pPr>
      <w:r w:rsidRPr="004D0354">
        <w:rPr>
          <w:color w:val="000000"/>
        </w:rPr>
        <w:t xml:space="preserve">IPU, </w:t>
      </w:r>
      <w:hyperlink r:id="rId39">
        <w:r w:rsidRPr="004D0354">
          <w:rPr>
            <w:rStyle w:val="Hyperlink"/>
            <w:i/>
            <w:iCs/>
          </w:rPr>
          <w:t>Conference Report</w:t>
        </w:r>
        <w:r w:rsidR="00A12331" w:rsidRPr="004D0354">
          <w:rPr>
            <w:rStyle w:val="Hyperlink"/>
            <w:i/>
            <w:iCs/>
          </w:rPr>
          <w:t>:</w:t>
        </w:r>
        <w:r w:rsidRPr="004D0354">
          <w:rPr>
            <w:rStyle w:val="Hyperlink"/>
            <w:i/>
            <w:iCs/>
          </w:rPr>
          <w:t xml:space="preserve"> Stepping up youth participation in politics and parliaments:</w:t>
        </w:r>
      </w:hyperlink>
      <w:hyperlink r:id="rId40">
        <w:r w:rsidRPr="004D0354">
          <w:rPr>
            <w:rStyle w:val="Hyperlink"/>
            <w:i/>
            <w:iCs/>
          </w:rPr>
          <w:t xml:space="preserve"> From words to action</w:t>
        </w:r>
      </w:hyperlink>
      <w:r w:rsidRPr="004D0354">
        <w:rPr>
          <w:color w:val="005F9A"/>
        </w:rPr>
        <w:t xml:space="preserve"> (</w:t>
      </w:r>
      <w:r w:rsidRPr="004D0354">
        <w:rPr>
          <w:color w:val="000000"/>
        </w:rPr>
        <w:t>2021).</w:t>
      </w:r>
    </w:p>
    <w:p w14:paraId="45BBDCD7" w14:textId="1CE39D19" w:rsidR="0001091D" w:rsidRPr="004D0354" w:rsidRDefault="0001091D" w:rsidP="0001091D">
      <w:pPr>
        <w:numPr>
          <w:ilvl w:val="0"/>
          <w:numId w:val="15"/>
        </w:numPr>
        <w:pBdr>
          <w:top w:val="nil"/>
          <w:left w:val="nil"/>
          <w:bottom w:val="nil"/>
          <w:right w:val="nil"/>
          <w:between w:val="nil"/>
        </w:pBdr>
        <w:ind w:left="562" w:hanging="562"/>
        <w:rPr>
          <w:rFonts w:eastAsia="Arial" w:cs="Arial"/>
          <w:color w:val="000000"/>
          <w:szCs w:val="20"/>
        </w:rPr>
      </w:pPr>
      <w:r w:rsidRPr="004D0354">
        <w:rPr>
          <w:color w:val="000000"/>
        </w:rPr>
        <w:t>IPU,</w:t>
      </w:r>
      <w:hyperlink r:id="rId41">
        <w:r w:rsidRPr="004D0354">
          <w:rPr>
            <w:color w:val="000000"/>
          </w:rPr>
          <w:t xml:space="preserve"> </w:t>
        </w:r>
      </w:hyperlink>
      <w:hyperlink r:id="rId42">
        <w:r w:rsidRPr="004D0354">
          <w:rPr>
            <w:rStyle w:val="Hyperlink"/>
            <w:i/>
          </w:rPr>
          <w:t xml:space="preserve">Youth participation in national </w:t>
        </w:r>
        <w:r w:rsidRPr="004D0354">
          <w:rPr>
            <w:rStyle w:val="Hyperlink"/>
          </w:rPr>
          <w:t>parliaments</w:t>
        </w:r>
      </w:hyperlink>
      <w:r w:rsidRPr="004D0354">
        <w:rPr>
          <w:color w:val="000000"/>
        </w:rPr>
        <w:t xml:space="preserve"> (2021).</w:t>
      </w:r>
    </w:p>
    <w:p w14:paraId="449D993C" w14:textId="77777777" w:rsidR="005D05A6" w:rsidRPr="002B4148" w:rsidRDefault="005D05A6" w:rsidP="0043584A">
      <w:pPr>
        <w:rPr>
          <w:rFonts w:eastAsia="Arial" w:cs="Arial"/>
          <w:color w:val="000000"/>
          <w:szCs w:val="20"/>
        </w:rPr>
      </w:pPr>
    </w:p>
    <w:bookmarkEnd w:id="11"/>
    <w:p w14:paraId="6D0C6391" w14:textId="77777777" w:rsidR="005D05A6" w:rsidRPr="002B4148" w:rsidRDefault="005D05A6" w:rsidP="0043584A">
      <w:pPr>
        <w:rPr>
          <w:rFonts w:eastAsia="Arial" w:cs="Arial"/>
          <w:color w:val="000000"/>
          <w:szCs w:val="20"/>
        </w:rPr>
      </w:pPr>
    </w:p>
    <w:p w14:paraId="0F54AA8A" w14:textId="77777777" w:rsidR="005D05A6" w:rsidRPr="002B4148" w:rsidRDefault="005D05A6" w:rsidP="0043584A">
      <w:pPr>
        <w:rPr>
          <w:rFonts w:eastAsia="Arial" w:cs="Arial"/>
          <w:color w:val="000000"/>
          <w:szCs w:val="20"/>
        </w:rPr>
      </w:pPr>
    </w:p>
    <w:p w14:paraId="3E1F2329" w14:textId="77777777" w:rsidR="005D05A6" w:rsidRPr="002B4148" w:rsidRDefault="005D05A6" w:rsidP="0043584A">
      <w:pPr>
        <w:rPr>
          <w:rFonts w:eastAsia="Arial" w:cs="Arial"/>
          <w:color w:val="000000"/>
          <w:szCs w:val="20"/>
        </w:rPr>
      </w:pPr>
    </w:p>
    <w:sectPr w:rsidR="005D05A6" w:rsidRPr="002B4148" w:rsidSect="000E316B">
      <w:headerReference w:type="default" r:id="rId43"/>
      <w:footerReference w:type="default" r:id="rId44"/>
      <w:headerReference w:type="first" r:id="rId45"/>
      <w:footerReference w:type="first" r:id="rId46"/>
      <w:pgSz w:w="11900" w:h="16840" w:code="9"/>
      <w:pgMar w:top="1411" w:right="1411" w:bottom="1411" w:left="1699"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DD44" w14:textId="77777777" w:rsidR="00627231" w:rsidRDefault="00627231">
      <w:r>
        <w:separator/>
      </w:r>
    </w:p>
  </w:endnote>
  <w:endnote w:type="continuationSeparator" w:id="0">
    <w:p w14:paraId="07A750D9" w14:textId="77777777" w:rsidR="00627231" w:rsidRDefault="0062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29151"/>
      <w:docPartObj>
        <w:docPartGallery w:val="Page Numbers (Bottom of Page)"/>
        <w:docPartUnique/>
      </w:docPartObj>
    </w:sdtPr>
    <w:sdtEndPr>
      <w:rPr>
        <w:noProof/>
      </w:rPr>
    </w:sdtEndPr>
    <w:sdtContent>
      <w:p w14:paraId="2831DC87" w14:textId="599A7308" w:rsidR="008B5588" w:rsidRPr="00504733" w:rsidRDefault="00504733" w:rsidP="005047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2911" w14:textId="77777777" w:rsidR="00504733" w:rsidRDefault="00504733" w:rsidP="00504733">
    <w:pPr>
      <w:pStyle w:val="NormalWeb"/>
      <w:rPr>
        <w:rFonts w:ascii="Arial" w:hAnsi="Arial" w:cs="Arial"/>
        <w:szCs w:val="20"/>
        <w:lang w:val="en-US"/>
      </w:rPr>
    </w:pPr>
    <w:r>
      <w:rPr>
        <w:rFonts w:ascii="Arial" w:hAnsi="Arial" w:cs="Arial"/>
        <w:szCs w:val="20"/>
        <w:lang w:val="en-US"/>
      </w:rPr>
      <w:t>_______________</w:t>
    </w:r>
  </w:p>
  <w:p w14:paraId="53638E09" w14:textId="77777777" w:rsidR="00502411" w:rsidRDefault="00502411" w:rsidP="00502411">
    <w:pPr>
      <w:pStyle w:val="NormalWeb"/>
      <w:rPr>
        <w:rFonts w:ascii="Arial" w:hAnsi="Arial" w:cs="Arial"/>
        <w:szCs w:val="20"/>
        <w:lang w:val="en-US"/>
      </w:rPr>
    </w:pPr>
    <w:r w:rsidRPr="00D17906">
      <w:rPr>
        <w:rFonts w:ascii="Arial" w:hAnsi="Arial" w:cs="Arial"/>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Cs w:val="20"/>
        <w:lang w:val="en-US"/>
      </w:rPr>
      <w:t>Legislativo</w:t>
    </w:r>
    <w:proofErr w:type="spellEnd"/>
    <w:r w:rsidRPr="00D17906">
      <w:rPr>
        <w:rFonts w:ascii="Arial" w:hAnsi="Arial" w:cs="Arial"/>
        <w:szCs w:val="20"/>
        <w:lang w:val="en-US"/>
      </w:rPr>
      <w:t xml:space="preserve"> Foundation, Inter Pares</w:t>
    </w:r>
    <w:r>
      <w:rPr>
        <w:rFonts w:ascii="Arial" w:hAnsi="Arial" w:cs="Arial"/>
        <w:szCs w:val="20"/>
        <w:lang w:val="en-US"/>
      </w:rPr>
      <w:t xml:space="preserve"> / International IDEA</w:t>
    </w:r>
    <w:r w:rsidRPr="00D17906">
      <w:rPr>
        <w:rFonts w:ascii="Arial" w:hAnsi="Arial" w:cs="Arial"/>
        <w:szCs w:val="20"/>
        <w:lang w:val="en-US"/>
      </w:rPr>
      <w:t xml:space="preserve">, the National Democratic Institute (NDI), the United Nations Development </w:t>
    </w:r>
    <w:proofErr w:type="spellStart"/>
    <w:r w:rsidRPr="00D17906">
      <w:rPr>
        <w:rFonts w:ascii="Arial" w:hAnsi="Arial" w:cs="Arial"/>
        <w:szCs w:val="20"/>
        <w:lang w:val="en-US"/>
      </w:rPr>
      <w:t>Programme</w:t>
    </w:r>
    <w:proofErr w:type="spellEnd"/>
    <w:r w:rsidRPr="00D17906">
      <w:rPr>
        <w:rFonts w:ascii="Arial" w:hAnsi="Arial" w:cs="Arial"/>
        <w:szCs w:val="20"/>
        <w:lang w:val="en-US"/>
      </w:rPr>
      <w:t xml:space="preserve"> (UNDP), UN Women and the Westminster Foundation for Democracy (WFD). </w:t>
    </w:r>
  </w:p>
  <w:p w14:paraId="5D21A412" w14:textId="074350A9" w:rsidR="00504733" w:rsidRPr="00504733" w:rsidRDefault="00504733" w:rsidP="00504733">
    <w:pPr>
      <w:pStyle w:val="NormalWeb"/>
      <w:rPr>
        <w:rFonts w:ascii="Arial" w:hAnsi="Arial" w:cs="Arial"/>
        <w:szCs w:val="20"/>
        <w:lang w:val="en-US"/>
      </w:rPr>
    </w:pPr>
    <w:r w:rsidRPr="000776D1">
      <w:rPr>
        <w:rFonts w:ascii="Arial" w:hAnsi="Arial" w:cs="Arial"/>
        <w:szCs w:val="20"/>
        <w:lang w:val="en-US"/>
      </w:rPr>
      <w:t xml:space="preserve">The Indicators are published </w:t>
    </w:r>
    <w:r>
      <w:rPr>
        <w:rFonts w:ascii="Arial" w:hAnsi="Arial" w:cs="Arial"/>
        <w:szCs w:val="20"/>
        <w:lang w:val="en-US"/>
      </w:rPr>
      <w:t xml:space="preserve">at </w:t>
    </w:r>
    <w:hyperlink r:id="rId1" w:history="1">
      <w:r w:rsidRPr="00F90F22">
        <w:rPr>
          <w:rStyle w:val="Hyperlink"/>
          <w:rFonts w:cs="Arial"/>
          <w:szCs w:val="20"/>
          <w:lang w:val="en-US"/>
        </w:rPr>
        <w:t>www.parliamentaryindicators.org</w:t>
      </w:r>
    </w:hyperlink>
    <w:r>
      <w:rPr>
        <w:rFonts w:ascii="Arial" w:hAnsi="Arial" w:cs="Arial"/>
        <w:szCs w:val="20"/>
        <w:lang w:val="en-US"/>
      </w:rPr>
      <w:t xml:space="preserve"> </w:t>
    </w:r>
    <w:r w:rsidRPr="000776D1">
      <w:rPr>
        <w:rFonts w:ascii="Arial" w:hAnsi="Arial" w:cs="Arial"/>
        <w:szCs w:val="20"/>
        <w:lang w:val="en-US"/>
      </w:rPr>
      <w:t xml:space="preserve">under the Creative Commons license </w:t>
    </w:r>
    <w:hyperlink r:id="rId2" w:history="1">
      <w:r w:rsidRPr="000776D1">
        <w:rPr>
          <w:rStyle w:val="Hyperlink"/>
          <w:rFonts w:cs="Arial"/>
          <w:szCs w:val="20"/>
          <w:lang w:val="en-US"/>
        </w:rPr>
        <w:t>CC BY-NC-SA 4.0</w:t>
      </w:r>
    </w:hyperlink>
    <w:r w:rsidRPr="000776D1">
      <w:rPr>
        <w:rFonts w:ascii="Arial" w:hAnsi="Arial" w:cs="Arial"/>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A7F0" w14:textId="77777777" w:rsidR="00627231" w:rsidRDefault="00627231">
      <w:r>
        <w:separator/>
      </w:r>
    </w:p>
  </w:footnote>
  <w:footnote w:type="continuationSeparator" w:id="0">
    <w:p w14:paraId="6EABE911" w14:textId="77777777" w:rsidR="00627231" w:rsidRDefault="0062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FC15" w14:textId="77777777" w:rsidR="00504733" w:rsidRDefault="00504733" w:rsidP="00504733">
    <w:pPr>
      <w:pStyle w:val="Header"/>
      <w:rPr>
        <w:b/>
        <w:bCs/>
        <w:lang w:val="en-US"/>
      </w:rPr>
    </w:pPr>
    <w:r w:rsidRPr="000776D1">
      <w:rPr>
        <w:b/>
        <w:bCs/>
        <w:szCs w:val="20"/>
        <w:lang w:val="en-US"/>
      </w:rPr>
      <w:t xml:space="preserve">Indicators for Democratic Parliaments </w:t>
    </w:r>
    <w:bookmarkStart w:id="12" w:name="_Hlk146872618"/>
    <w:r>
      <w:rPr>
        <w:b/>
        <w:bCs/>
        <w:szCs w:val="20"/>
        <w:lang w:val="en-US"/>
      </w:rPr>
      <w:tab/>
    </w:r>
    <w:r>
      <w:rPr>
        <w:b/>
        <w:bCs/>
        <w:szCs w:val="20"/>
        <w:lang w:val="en-US"/>
      </w:rPr>
      <w:tab/>
    </w:r>
    <w:r w:rsidRPr="000776D1">
      <w:rPr>
        <w:b/>
        <w:bCs/>
        <w:szCs w:val="20"/>
        <w:lang w:val="en-US"/>
      </w:rPr>
      <w:t>www.parliamentaryindicators.org</w:t>
    </w:r>
    <w:bookmarkEnd w:id="12"/>
  </w:p>
  <w:p w14:paraId="0FAA67F5" w14:textId="26EB17F6" w:rsidR="00504733" w:rsidRDefault="00504733" w:rsidP="00504733">
    <w:pPr>
      <w:pStyle w:val="Header"/>
      <w:rPr>
        <w:lang w:val="en-US"/>
      </w:rPr>
    </w:pPr>
    <w:r>
      <w:rPr>
        <w:szCs w:val="20"/>
        <w:lang w:val="en-US"/>
      </w:rPr>
      <w:t>_______________________________________________________________________________</w:t>
    </w:r>
  </w:p>
  <w:p w14:paraId="5B5793F3" w14:textId="6684C69A" w:rsidR="008B5588" w:rsidRPr="00504733" w:rsidRDefault="008B5588" w:rsidP="00504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A711" w14:textId="77777777" w:rsidR="00504733" w:rsidRDefault="00504733" w:rsidP="00504733">
    <w:pPr>
      <w:pStyle w:val="Header"/>
    </w:pPr>
    <w:r>
      <w:rPr>
        <w:noProof/>
      </w:rPr>
      <w:drawing>
        <wp:inline distT="0" distB="0" distL="0" distR="0" wp14:anchorId="3EB78266" wp14:editId="21125AA6">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52771D9A" w14:textId="77777777" w:rsidR="00504733" w:rsidRDefault="00504733" w:rsidP="00504733">
    <w:pPr>
      <w:pStyle w:val="Header"/>
    </w:pPr>
  </w:p>
  <w:p w14:paraId="30552DDF" w14:textId="77777777" w:rsidR="008B5588" w:rsidRDefault="008B558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C4E"/>
    <w:multiLevelType w:val="multilevel"/>
    <w:tmpl w:val="ACA82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AE3E94"/>
    <w:multiLevelType w:val="hybridMultilevel"/>
    <w:tmpl w:val="D8C211E0"/>
    <w:lvl w:ilvl="0" w:tplc="3026965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3AE26D1"/>
    <w:multiLevelType w:val="multilevel"/>
    <w:tmpl w:val="911C7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27CBC"/>
    <w:multiLevelType w:val="multilevel"/>
    <w:tmpl w:val="C27CA97E"/>
    <w:lvl w:ilvl="0">
      <w:start w:val="1"/>
      <w:numFmt w:val="bullet"/>
      <w:lvlText w:val="●"/>
      <w:lvlJc w:val="left"/>
      <w:pPr>
        <w:tabs>
          <w:tab w:val="num" w:pos="562"/>
        </w:tabs>
        <w:ind w:left="562" w:hanging="56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 w15:restartNumberingAfterBreak="0">
    <w:nsid w:val="1D922803"/>
    <w:multiLevelType w:val="hybridMultilevel"/>
    <w:tmpl w:val="9C0278E0"/>
    <w:lvl w:ilvl="0" w:tplc="8C38A6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44664"/>
    <w:multiLevelType w:val="multilevel"/>
    <w:tmpl w:val="68944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FA3F99"/>
    <w:multiLevelType w:val="multilevel"/>
    <w:tmpl w:val="18B66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490E42"/>
    <w:multiLevelType w:val="multilevel"/>
    <w:tmpl w:val="5E3A6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AE5C16"/>
    <w:multiLevelType w:val="multilevel"/>
    <w:tmpl w:val="2146F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6A40D6"/>
    <w:multiLevelType w:val="multilevel"/>
    <w:tmpl w:val="3ECEE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8D27AC"/>
    <w:multiLevelType w:val="multilevel"/>
    <w:tmpl w:val="60146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36774E"/>
    <w:multiLevelType w:val="multilevel"/>
    <w:tmpl w:val="58900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1B6CFE"/>
    <w:multiLevelType w:val="multilevel"/>
    <w:tmpl w:val="19542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D469C4"/>
    <w:multiLevelType w:val="multilevel"/>
    <w:tmpl w:val="8DAC9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E50DEB"/>
    <w:multiLevelType w:val="multilevel"/>
    <w:tmpl w:val="629C9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6C4284"/>
    <w:multiLevelType w:val="hybridMultilevel"/>
    <w:tmpl w:val="205CC50C"/>
    <w:lvl w:ilvl="0" w:tplc="F76EF5E0">
      <w:start w:val="1"/>
      <w:numFmt w:val="bullet"/>
      <w:pStyle w:val="ListParagraph"/>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3006051"/>
    <w:multiLevelType w:val="multilevel"/>
    <w:tmpl w:val="96A4A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B07BA0"/>
    <w:multiLevelType w:val="multilevel"/>
    <w:tmpl w:val="1CC64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F71BB4"/>
    <w:multiLevelType w:val="multilevel"/>
    <w:tmpl w:val="E3E45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90142B1"/>
    <w:multiLevelType w:val="multilevel"/>
    <w:tmpl w:val="76F63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AA2D15"/>
    <w:multiLevelType w:val="multilevel"/>
    <w:tmpl w:val="8B9E9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40262D"/>
    <w:multiLevelType w:val="multilevel"/>
    <w:tmpl w:val="83640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A51213"/>
    <w:multiLevelType w:val="hybridMultilevel"/>
    <w:tmpl w:val="534035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55619"/>
    <w:multiLevelType w:val="multilevel"/>
    <w:tmpl w:val="8DFCA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347582"/>
    <w:multiLevelType w:val="multilevel"/>
    <w:tmpl w:val="9D7AF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695E2A"/>
    <w:multiLevelType w:val="multilevel"/>
    <w:tmpl w:val="97DA0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A44AD8"/>
    <w:multiLevelType w:val="multilevel"/>
    <w:tmpl w:val="28C67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9A46ED"/>
    <w:multiLevelType w:val="multilevel"/>
    <w:tmpl w:val="6D500826"/>
    <w:lvl w:ilvl="0">
      <w:start w:val="1"/>
      <w:numFmt w:val="bullet"/>
      <w:lvlText w:val="●"/>
      <w:lvlJc w:val="left"/>
      <w:pPr>
        <w:tabs>
          <w:tab w:val="num" w:pos="562"/>
        </w:tabs>
        <w:ind w:left="562" w:hanging="20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8" w15:restartNumberingAfterBreak="0">
    <w:nsid w:val="775C468D"/>
    <w:multiLevelType w:val="hybridMultilevel"/>
    <w:tmpl w:val="55B44FBC"/>
    <w:lvl w:ilvl="0" w:tplc="49A6C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54BFB"/>
    <w:multiLevelType w:val="multilevel"/>
    <w:tmpl w:val="556ED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720502"/>
    <w:multiLevelType w:val="multilevel"/>
    <w:tmpl w:val="9F60C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D505BF"/>
    <w:multiLevelType w:val="multilevel"/>
    <w:tmpl w:val="41222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734041"/>
    <w:multiLevelType w:val="multilevel"/>
    <w:tmpl w:val="6E52B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C1A3528"/>
    <w:multiLevelType w:val="hybridMultilevel"/>
    <w:tmpl w:val="1B1C45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062D49"/>
    <w:multiLevelType w:val="multilevel"/>
    <w:tmpl w:val="C0D43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151170"/>
    <w:multiLevelType w:val="multilevel"/>
    <w:tmpl w:val="0B4CC900"/>
    <w:lvl w:ilvl="0">
      <w:start w:val="1"/>
      <w:numFmt w:val="bullet"/>
      <w:lvlText w:val="●"/>
      <w:lvlJc w:val="left"/>
      <w:pPr>
        <w:ind w:left="562" w:hanging="56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140346760">
    <w:abstractNumId w:val="6"/>
  </w:num>
  <w:num w:numId="2" w16cid:durableId="2006399722">
    <w:abstractNumId w:val="31"/>
  </w:num>
  <w:num w:numId="3" w16cid:durableId="678194184">
    <w:abstractNumId w:val="14"/>
  </w:num>
  <w:num w:numId="4" w16cid:durableId="1289118627">
    <w:abstractNumId w:val="17"/>
  </w:num>
  <w:num w:numId="5" w16cid:durableId="1359970064">
    <w:abstractNumId w:val="20"/>
  </w:num>
  <w:num w:numId="6" w16cid:durableId="1585719755">
    <w:abstractNumId w:val="25"/>
  </w:num>
  <w:num w:numId="7" w16cid:durableId="67580711">
    <w:abstractNumId w:val="23"/>
  </w:num>
  <w:num w:numId="8" w16cid:durableId="1936015796">
    <w:abstractNumId w:val="16"/>
  </w:num>
  <w:num w:numId="9" w16cid:durableId="222722368">
    <w:abstractNumId w:val="7"/>
  </w:num>
  <w:num w:numId="10" w16cid:durableId="581641682">
    <w:abstractNumId w:val="29"/>
  </w:num>
  <w:num w:numId="11" w16cid:durableId="412162507">
    <w:abstractNumId w:val="11"/>
  </w:num>
  <w:num w:numId="12" w16cid:durableId="119497733">
    <w:abstractNumId w:val="9"/>
  </w:num>
  <w:num w:numId="13" w16cid:durableId="551577746">
    <w:abstractNumId w:val="34"/>
  </w:num>
  <w:num w:numId="14" w16cid:durableId="534778201">
    <w:abstractNumId w:val="2"/>
  </w:num>
  <w:num w:numId="15" w16cid:durableId="687876888">
    <w:abstractNumId w:val="32"/>
  </w:num>
  <w:num w:numId="16" w16cid:durableId="830868510">
    <w:abstractNumId w:val="0"/>
  </w:num>
  <w:num w:numId="17" w16cid:durableId="399527698">
    <w:abstractNumId w:val="10"/>
  </w:num>
  <w:num w:numId="18" w16cid:durableId="701711654">
    <w:abstractNumId w:val="21"/>
  </w:num>
  <w:num w:numId="19" w16cid:durableId="1207375316">
    <w:abstractNumId w:val="35"/>
  </w:num>
  <w:num w:numId="20" w16cid:durableId="1127314518">
    <w:abstractNumId w:val="27"/>
  </w:num>
  <w:num w:numId="21" w16cid:durableId="987444184">
    <w:abstractNumId w:val="33"/>
  </w:num>
  <w:num w:numId="22" w16cid:durableId="808785923">
    <w:abstractNumId w:val="22"/>
  </w:num>
  <w:num w:numId="23" w16cid:durableId="1733963817">
    <w:abstractNumId w:val="3"/>
  </w:num>
  <w:num w:numId="24" w16cid:durableId="895317718">
    <w:abstractNumId w:val="8"/>
  </w:num>
  <w:num w:numId="25" w16cid:durableId="137380179">
    <w:abstractNumId w:val="19"/>
  </w:num>
  <w:num w:numId="26" w16cid:durableId="470632675">
    <w:abstractNumId w:val="13"/>
  </w:num>
  <w:num w:numId="27" w16cid:durableId="805246889">
    <w:abstractNumId w:val="18"/>
  </w:num>
  <w:num w:numId="28" w16cid:durableId="1311060751">
    <w:abstractNumId w:val="12"/>
  </w:num>
  <w:num w:numId="29" w16cid:durableId="1682659179">
    <w:abstractNumId w:val="26"/>
  </w:num>
  <w:num w:numId="30" w16cid:durableId="1157301979">
    <w:abstractNumId w:val="30"/>
  </w:num>
  <w:num w:numId="31" w16cid:durableId="1228416005">
    <w:abstractNumId w:val="24"/>
  </w:num>
  <w:num w:numId="32" w16cid:durableId="818426973">
    <w:abstractNumId w:val="5"/>
  </w:num>
  <w:num w:numId="33" w16cid:durableId="1116171987">
    <w:abstractNumId w:val="1"/>
  </w:num>
  <w:num w:numId="34" w16cid:durableId="80218499">
    <w:abstractNumId w:val="1"/>
  </w:num>
  <w:num w:numId="35" w16cid:durableId="423769346">
    <w:abstractNumId w:val="35"/>
  </w:num>
  <w:num w:numId="36" w16cid:durableId="346493466">
    <w:abstractNumId w:val="27"/>
  </w:num>
  <w:num w:numId="37" w16cid:durableId="1126580428">
    <w:abstractNumId w:val="4"/>
  </w:num>
  <w:num w:numId="38" w16cid:durableId="1571771163">
    <w:abstractNumId w:val="28"/>
  </w:num>
  <w:num w:numId="39" w16cid:durableId="11942287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B5"/>
    <w:rsid w:val="0000609C"/>
    <w:rsid w:val="0001091D"/>
    <w:rsid w:val="000124B9"/>
    <w:rsid w:val="00027C10"/>
    <w:rsid w:val="00027C75"/>
    <w:rsid w:val="00036344"/>
    <w:rsid w:val="000450D0"/>
    <w:rsid w:val="00072CF7"/>
    <w:rsid w:val="00083B1F"/>
    <w:rsid w:val="000927A6"/>
    <w:rsid w:val="00093E24"/>
    <w:rsid w:val="000964D9"/>
    <w:rsid w:val="000A4BAE"/>
    <w:rsid w:val="000A7AB9"/>
    <w:rsid w:val="000B11ED"/>
    <w:rsid w:val="000C1635"/>
    <w:rsid w:val="000C7766"/>
    <w:rsid w:val="000E316B"/>
    <w:rsid w:val="000F190A"/>
    <w:rsid w:val="000F1C24"/>
    <w:rsid w:val="001030B6"/>
    <w:rsid w:val="00112924"/>
    <w:rsid w:val="00115D90"/>
    <w:rsid w:val="0012380A"/>
    <w:rsid w:val="00123A16"/>
    <w:rsid w:val="00126537"/>
    <w:rsid w:val="001328E5"/>
    <w:rsid w:val="00141E4F"/>
    <w:rsid w:val="001479C2"/>
    <w:rsid w:val="00160310"/>
    <w:rsid w:val="001620AD"/>
    <w:rsid w:val="0016575E"/>
    <w:rsid w:val="00180119"/>
    <w:rsid w:val="00182862"/>
    <w:rsid w:val="001B14AC"/>
    <w:rsid w:val="001B7E82"/>
    <w:rsid w:val="001B7ECA"/>
    <w:rsid w:val="001C3787"/>
    <w:rsid w:val="001D15BF"/>
    <w:rsid w:val="00203054"/>
    <w:rsid w:val="00204843"/>
    <w:rsid w:val="0022090F"/>
    <w:rsid w:val="002255AE"/>
    <w:rsid w:val="00227C9B"/>
    <w:rsid w:val="00243670"/>
    <w:rsid w:val="00246221"/>
    <w:rsid w:val="00246263"/>
    <w:rsid w:val="00262D39"/>
    <w:rsid w:val="002708C6"/>
    <w:rsid w:val="00280B5B"/>
    <w:rsid w:val="002851B5"/>
    <w:rsid w:val="00294B27"/>
    <w:rsid w:val="00295648"/>
    <w:rsid w:val="002B4148"/>
    <w:rsid w:val="002C46B2"/>
    <w:rsid w:val="002D4DF4"/>
    <w:rsid w:val="00304586"/>
    <w:rsid w:val="0030687E"/>
    <w:rsid w:val="0032407C"/>
    <w:rsid w:val="003260BF"/>
    <w:rsid w:val="00326D5E"/>
    <w:rsid w:val="0034519C"/>
    <w:rsid w:val="00357C40"/>
    <w:rsid w:val="003641C2"/>
    <w:rsid w:val="00370A5A"/>
    <w:rsid w:val="003920F0"/>
    <w:rsid w:val="003A4582"/>
    <w:rsid w:val="003A6163"/>
    <w:rsid w:val="003B2BEE"/>
    <w:rsid w:val="003C1353"/>
    <w:rsid w:val="003C52CB"/>
    <w:rsid w:val="003C6074"/>
    <w:rsid w:val="003F0E66"/>
    <w:rsid w:val="003F1B8F"/>
    <w:rsid w:val="003F5468"/>
    <w:rsid w:val="00403330"/>
    <w:rsid w:val="00417FFC"/>
    <w:rsid w:val="00432785"/>
    <w:rsid w:val="0043584A"/>
    <w:rsid w:val="00447DF0"/>
    <w:rsid w:val="00454926"/>
    <w:rsid w:val="00460F3D"/>
    <w:rsid w:val="00473210"/>
    <w:rsid w:val="004768D4"/>
    <w:rsid w:val="004771F3"/>
    <w:rsid w:val="00497D7C"/>
    <w:rsid w:val="004A2639"/>
    <w:rsid w:val="004A340F"/>
    <w:rsid w:val="004B49D5"/>
    <w:rsid w:val="004C336F"/>
    <w:rsid w:val="004D0354"/>
    <w:rsid w:val="004D1396"/>
    <w:rsid w:val="004E124B"/>
    <w:rsid w:val="004F3F3E"/>
    <w:rsid w:val="004F592D"/>
    <w:rsid w:val="00502411"/>
    <w:rsid w:val="00504733"/>
    <w:rsid w:val="005118DE"/>
    <w:rsid w:val="00520BA3"/>
    <w:rsid w:val="0053551F"/>
    <w:rsid w:val="00535AF4"/>
    <w:rsid w:val="00544425"/>
    <w:rsid w:val="00545EE6"/>
    <w:rsid w:val="0055364C"/>
    <w:rsid w:val="0056336D"/>
    <w:rsid w:val="005677F5"/>
    <w:rsid w:val="00575CC0"/>
    <w:rsid w:val="005968D1"/>
    <w:rsid w:val="005B3120"/>
    <w:rsid w:val="005B5F1F"/>
    <w:rsid w:val="005C146C"/>
    <w:rsid w:val="005C6444"/>
    <w:rsid w:val="005D05A6"/>
    <w:rsid w:val="005D0B76"/>
    <w:rsid w:val="005F0D28"/>
    <w:rsid w:val="005F5FFF"/>
    <w:rsid w:val="00601534"/>
    <w:rsid w:val="00611D3D"/>
    <w:rsid w:val="00627231"/>
    <w:rsid w:val="006339FA"/>
    <w:rsid w:val="00637E06"/>
    <w:rsid w:val="0064430C"/>
    <w:rsid w:val="00647DE3"/>
    <w:rsid w:val="00654A8C"/>
    <w:rsid w:val="00665107"/>
    <w:rsid w:val="006678C3"/>
    <w:rsid w:val="00676591"/>
    <w:rsid w:val="00677367"/>
    <w:rsid w:val="00683BA1"/>
    <w:rsid w:val="00686851"/>
    <w:rsid w:val="00687517"/>
    <w:rsid w:val="0069221A"/>
    <w:rsid w:val="00695ACF"/>
    <w:rsid w:val="006A5F47"/>
    <w:rsid w:val="006B27FF"/>
    <w:rsid w:val="006B593C"/>
    <w:rsid w:val="006C0DE3"/>
    <w:rsid w:val="006C387E"/>
    <w:rsid w:val="006C3E93"/>
    <w:rsid w:val="006D1DF4"/>
    <w:rsid w:val="006D432C"/>
    <w:rsid w:val="006D6F59"/>
    <w:rsid w:val="006F7D4D"/>
    <w:rsid w:val="00702DDC"/>
    <w:rsid w:val="0070651C"/>
    <w:rsid w:val="007145E7"/>
    <w:rsid w:val="00757F49"/>
    <w:rsid w:val="007853B3"/>
    <w:rsid w:val="00791C1C"/>
    <w:rsid w:val="00792CBA"/>
    <w:rsid w:val="007946DA"/>
    <w:rsid w:val="007C1830"/>
    <w:rsid w:val="007D26BB"/>
    <w:rsid w:val="007E5D1E"/>
    <w:rsid w:val="007E649F"/>
    <w:rsid w:val="007F629B"/>
    <w:rsid w:val="00810B64"/>
    <w:rsid w:val="00813F52"/>
    <w:rsid w:val="008259E2"/>
    <w:rsid w:val="0082775D"/>
    <w:rsid w:val="0083248B"/>
    <w:rsid w:val="0084016C"/>
    <w:rsid w:val="008422F8"/>
    <w:rsid w:val="00851250"/>
    <w:rsid w:val="00853AD5"/>
    <w:rsid w:val="008631D8"/>
    <w:rsid w:val="008820D9"/>
    <w:rsid w:val="00892E65"/>
    <w:rsid w:val="00896570"/>
    <w:rsid w:val="00896968"/>
    <w:rsid w:val="008A2016"/>
    <w:rsid w:val="008B47FE"/>
    <w:rsid w:val="008B5588"/>
    <w:rsid w:val="008C0A20"/>
    <w:rsid w:val="008D2B69"/>
    <w:rsid w:val="008E0B91"/>
    <w:rsid w:val="008F7C06"/>
    <w:rsid w:val="0090577D"/>
    <w:rsid w:val="00915610"/>
    <w:rsid w:val="00917C58"/>
    <w:rsid w:val="00922028"/>
    <w:rsid w:val="00922583"/>
    <w:rsid w:val="00924633"/>
    <w:rsid w:val="00937A6A"/>
    <w:rsid w:val="0095039A"/>
    <w:rsid w:val="00984A0B"/>
    <w:rsid w:val="009866A7"/>
    <w:rsid w:val="009932DD"/>
    <w:rsid w:val="009A142C"/>
    <w:rsid w:val="009A1DE7"/>
    <w:rsid w:val="009B15A2"/>
    <w:rsid w:val="009B5F4D"/>
    <w:rsid w:val="009C3128"/>
    <w:rsid w:val="009D04A0"/>
    <w:rsid w:val="009E215B"/>
    <w:rsid w:val="009F1708"/>
    <w:rsid w:val="009F2D1F"/>
    <w:rsid w:val="009F5771"/>
    <w:rsid w:val="00A01386"/>
    <w:rsid w:val="00A057C4"/>
    <w:rsid w:val="00A1060F"/>
    <w:rsid w:val="00A11244"/>
    <w:rsid w:val="00A12331"/>
    <w:rsid w:val="00A17D77"/>
    <w:rsid w:val="00A24BE5"/>
    <w:rsid w:val="00A62C3C"/>
    <w:rsid w:val="00A66AA9"/>
    <w:rsid w:val="00A7368E"/>
    <w:rsid w:val="00A82660"/>
    <w:rsid w:val="00A84106"/>
    <w:rsid w:val="00A96C09"/>
    <w:rsid w:val="00AC09D9"/>
    <w:rsid w:val="00AC6562"/>
    <w:rsid w:val="00AD2F3E"/>
    <w:rsid w:val="00AE6CB8"/>
    <w:rsid w:val="00AE78AF"/>
    <w:rsid w:val="00AF4329"/>
    <w:rsid w:val="00B10E09"/>
    <w:rsid w:val="00B1448D"/>
    <w:rsid w:val="00B2133D"/>
    <w:rsid w:val="00B21850"/>
    <w:rsid w:val="00B53540"/>
    <w:rsid w:val="00B70655"/>
    <w:rsid w:val="00B80189"/>
    <w:rsid w:val="00B83605"/>
    <w:rsid w:val="00BC0DB0"/>
    <w:rsid w:val="00BC50E8"/>
    <w:rsid w:val="00BD245E"/>
    <w:rsid w:val="00BE309A"/>
    <w:rsid w:val="00C06467"/>
    <w:rsid w:val="00C1054C"/>
    <w:rsid w:val="00C12B4B"/>
    <w:rsid w:val="00C33155"/>
    <w:rsid w:val="00C3750E"/>
    <w:rsid w:val="00C426B8"/>
    <w:rsid w:val="00C44601"/>
    <w:rsid w:val="00C62278"/>
    <w:rsid w:val="00C63635"/>
    <w:rsid w:val="00C6700B"/>
    <w:rsid w:val="00C80237"/>
    <w:rsid w:val="00C81042"/>
    <w:rsid w:val="00C842B5"/>
    <w:rsid w:val="00C923F8"/>
    <w:rsid w:val="00CA1253"/>
    <w:rsid w:val="00CB74EE"/>
    <w:rsid w:val="00CC0749"/>
    <w:rsid w:val="00CC49AF"/>
    <w:rsid w:val="00CD3164"/>
    <w:rsid w:val="00CE43A1"/>
    <w:rsid w:val="00CF63C7"/>
    <w:rsid w:val="00D0711D"/>
    <w:rsid w:val="00D10D0D"/>
    <w:rsid w:val="00D11F15"/>
    <w:rsid w:val="00D226BB"/>
    <w:rsid w:val="00D257BD"/>
    <w:rsid w:val="00D35BDA"/>
    <w:rsid w:val="00D4638D"/>
    <w:rsid w:val="00D513A2"/>
    <w:rsid w:val="00D527EE"/>
    <w:rsid w:val="00D5303D"/>
    <w:rsid w:val="00D556A3"/>
    <w:rsid w:val="00D83726"/>
    <w:rsid w:val="00D90297"/>
    <w:rsid w:val="00DA0504"/>
    <w:rsid w:val="00DD1DBC"/>
    <w:rsid w:val="00DD5DC8"/>
    <w:rsid w:val="00DE03BD"/>
    <w:rsid w:val="00DF2090"/>
    <w:rsid w:val="00DF4F0E"/>
    <w:rsid w:val="00DF7B4B"/>
    <w:rsid w:val="00E019CB"/>
    <w:rsid w:val="00E1417B"/>
    <w:rsid w:val="00E32F55"/>
    <w:rsid w:val="00E36AA1"/>
    <w:rsid w:val="00E37F04"/>
    <w:rsid w:val="00E4687D"/>
    <w:rsid w:val="00E50C49"/>
    <w:rsid w:val="00E52778"/>
    <w:rsid w:val="00E6465E"/>
    <w:rsid w:val="00E71787"/>
    <w:rsid w:val="00E810E0"/>
    <w:rsid w:val="00E84402"/>
    <w:rsid w:val="00E87A61"/>
    <w:rsid w:val="00EA364C"/>
    <w:rsid w:val="00EA431B"/>
    <w:rsid w:val="00EA5DBE"/>
    <w:rsid w:val="00EB32EC"/>
    <w:rsid w:val="00EC3153"/>
    <w:rsid w:val="00ED63E1"/>
    <w:rsid w:val="00EE551A"/>
    <w:rsid w:val="00F053B5"/>
    <w:rsid w:val="00F139A2"/>
    <w:rsid w:val="00F14420"/>
    <w:rsid w:val="00F145EE"/>
    <w:rsid w:val="00F16B84"/>
    <w:rsid w:val="00F23CF1"/>
    <w:rsid w:val="00F36B2B"/>
    <w:rsid w:val="00F45B41"/>
    <w:rsid w:val="00F72031"/>
    <w:rsid w:val="00F763D7"/>
    <w:rsid w:val="00F90788"/>
    <w:rsid w:val="00FB2192"/>
    <w:rsid w:val="00FB7842"/>
    <w:rsid w:val="00FC3A37"/>
    <w:rsid w:val="00FC7967"/>
    <w:rsid w:val="00FD1F1A"/>
    <w:rsid w:val="00FE7682"/>
    <w:rsid w:val="00FF025F"/>
    <w:rsid w:val="00FF417F"/>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5E655"/>
  <w15:docId w15:val="{C0528E1A-929C-4FF8-AA30-1098F37E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Calibri"/>
        <w:sz w:val="24"/>
        <w:szCs w:val="24"/>
        <w:lang w:val="en-GB"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862"/>
    <w:rPr>
      <w:sz w:val="20"/>
    </w:rPr>
  </w:style>
  <w:style w:type="paragraph" w:styleId="Heading1">
    <w:name w:val="heading 1"/>
    <w:basedOn w:val="Normal"/>
    <w:next w:val="Normal"/>
    <w:link w:val="Heading1Char"/>
    <w:uiPriority w:val="9"/>
    <w:qFormat/>
    <w:rsid w:val="00BD33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4D0354"/>
    <w:pPr>
      <w:pageBreakBefore/>
      <w:spacing w:before="200" w:after="240"/>
      <w:outlineLvl w:val="1"/>
    </w:pPr>
    <w:rPr>
      <w:rFonts w:eastAsia="Arial" w:cs="Arial"/>
      <w:b/>
      <w:color w:val="00AABE"/>
      <w:sz w:val="28"/>
      <w:szCs w:val="28"/>
    </w:rPr>
  </w:style>
  <w:style w:type="paragraph" w:styleId="Heading3">
    <w:name w:val="heading 3"/>
    <w:basedOn w:val="Normal"/>
    <w:next w:val="Normal"/>
    <w:link w:val="Heading3Char"/>
    <w:autoRedefine/>
    <w:uiPriority w:val="9"/>
    <w:unhideWhenUsed/>
    <w:qFormat/>
    <w:rsid w:val="002B4148"/>
    <w:pPr>
      <w:pageBreakBefore/>
      <w:spacing w:before="120" w:after="200"/>
      <w:outlineLvl w:val="2"/>
    </w:pPr>
    <w:rPr>
      <w:rFonts w:eastAsia="Arial" w:cs="Arial"/>
      <w:b/>
      <w:color w:val="005F9A"/>
      <w:sz w:val="24"/>
    </w:rPr>
  </w:style>
  <w:style w:type="paragraph" w:styleId="Heading4">
    <w:name w:val="heading 4"/>
    <w:aliases w:val="assessment-criteria"/>
    <w:basedOn w:val="Normal"/>
    <w:next w:val="Normal"/>
    <w:link w:val="Heading4Char"/>
    <w:autoRedefine/>
    <w:uiPriority w:val="9"/>
    <w:unhideWhenUsed/>
    <w:qFormat/>
    <w:rsid w:val="001030B6"/>
    <w:pPr>
      <w:spacing w:before="200" w:after="120"/>
      <w:contextualSpacing/>
      <w:outlineLvl w:val="3"/>
    </w:pPr>
    <w:rPr>
      <w:rFonts w:eastAsiaTheme="majorEastAsia" w:cs="Arial"/>
      <w:b/>
      <w:iCs/>
      <w:lang w:eastAsia="en-GB"/>
    </w:rPr>
  </w:style>
  <w:style w:type="paragraph" w:styleId="Heading5">
    <w:name w:val="heading 5"/>
    <w:basedOn w:val="Normal"/>
    <w:next w:val="Normal"/>
    <w:link w:val="Heading5Char"/>
    <w:unhideWhenUsed/>
    <w:qFormat/>
    <w:rsid w:val="00BD33A9"/>
    <w:pPr>
      <w:keepNext/>
      <w:keepLines/>
      <w:spacing w:before="340" w:line="288" w:lineRule="auto"/>
      <w:outlineLvl w:val="4"/>
    </w:pPr>
    <w:rPr>
      <w:rFonts w:eastAsia="Arial" w:cs="Arial"/>
      <w:b/>
      <w:color w:val="005F9A"/>
      <w:szCs w:val="22"/>
    </w:rPr>
  </w:style>
  <w:style w:type="paragraph" w:styleId="Heading6">
    <w:name w:val="heading 6"/>
    <w:basedOn w:val="Normal"/>
    <w:next w:val="Normal"/>
    <w:link w:val="Heading6Char"/>
    <w:unhideWhenUsed/>
    <w:qFormat/>
    <w:rsid w:val="00BD33A9"/>
    <w:pPr>
      <w:keepNext/>
      <w:keepLines/>
      <w:spacing w:before="320" w:line="288" w:lineRule="auto"/>
      <w:outlineLvl w:val="5"/>
    </w:pPr>
    <w:rPr>
      <w:rFonts w:eastAsia="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Heading5Char">
    <w:name w:val="Heading 5 Char"/>
    <w:basedOn w:val="DefaultParagraphFont"/>
    <w:link w:val="Heading5"/>
    <w:rsid w:val="00BD33A9"/>
    <w:rPr>
      <w:rFonts w:ascii="Arial" w:eastAsia="Arial" w:hAnsi="Arial" w:cs="Arial"/>
      <w:b/>
      <w:color w:val="005F9A"/>
      <w:sz w:val="20"/>
      <w:lang w:val="en-GB" w:eastAsia="en-GB"/>
    </w:rPr>
  </w:style>
  <w:style w:type="character" w:customStyle="1" w:styleId="Heading6Char">
    <w:name w:val="Heading 6 Char"/>
    <w:basedOn w:val="DefaultParagraphFont"/>
    <w:link w:val="Heading6"/>
    <w:rsid w:val="00BD33A9"/>
    <w:rPr>
      <w:rFonts w:ascii="Arial" w:eastAsia="Arial" w:hAnsi="Arial" w:cs="Arial"/>
      <w:b/>
      <w:sz w:val="20"/>
      <w:szCs w:val="20"/>
      <w:lang w:val="en-GB" w:eastAsia="en-GB"/>
    </w:rPr>
  </w:style>
  <w:style w:type="character" w:styleId="FootnoteReference">
    <w:name w:val="footnote reference"/>
    <w:basedOn w:val="DefaultParagraphFont"/>
    <w:uiPriority w:val="99"/>
    <w:unhideWhenUsed/>
    <w:rsid w:val="00BD33A9"/>
    <w:rPr>
      <w:vertAlign w:val="superscript"/>
    </w:rPr>
  </w:style>
  <w:style w:type="character" w:customStyle="1" w:styleId="Heading1Char">
    <w:name w:val="Heading 1 Char"/>
    <w:basedOn w:val="DefaultParagraphFont"/>
    <w:link w:val="Heading1"/>
    <w:uiPriority w:val="9"/>
    <w:rsid w:val="00BD33A9"/>
    <w:rPr>
      <w:rFonts w:asciiTheme="majorHAnsi" w:eastAsiaTheme="majorEastAsia" w:hAnsiTheme="majorHAnsi" w:cstheme="majorBidi"/>
      <w:color w:val="2E74B5" w:themeColor="accent1" w:themeShade="BF"/>
      <w:sz w:val="32"/>
      <w:szCs w:val="32"/>
      <w:lang w:eastAsia="en-GB"/>
    </w:rPr>
  </w:style>
  <w:style w:type="paragraph" w:styleId="Header">
    <w:name w:val="header"/>
    <w:basedOn w:val="Normal"/>
    <w:link w:val="HeaderChar"/>
    <w:uiPriority w:val="99"/>
    <w:unhideWhenUsed/>
    <w:rsid w:val="00BD33A9"/>
    <w:pPr>
      <w:tabs>
        <w:tab w:val="center" w:pos="4680"/>
        <w:tab w:val="right" w:pos="9360"/>
      </w:tabs>
    </w:pPr>
  </w:style>
  <w:style w:type="character" w:customStyle="1" w:styleId="HeaderChar">
    <w:name w:val="Header Char"/>
    <w:basedOn w:val="DefaultParagraphFont"/>
    <w:link w:val="Header"/>
    <w:uiPriority w:val="99"/>
    <w:rsid w:val="00BD33A9"/>
    <w:rPr>
      <w:rFonts w:ascii="Calibri" w:eastAsia="Calibri" w:hAnsi="Calibri" w:cs="Calibri"/>
      <w:sz w:val="24"/>
      <w:szCs w:val="24"/>
      <w:lang w:eastAsia="en-GB"/>
    </w:rPr>
  </w:style>
  <w:style w:type="paragraph" w:styleId="Footer">
    <w:name w:val="footer"/>
    <w:basedOn w:val="Normal"/>
    <w:link w:val="FooterChar"/>
    <w:uiPriority w:val="99"/>
    <w:unhideWhenUsed/>
    <w:rsid w:val="00BD33A9"/>
    <w:pPr>
      <w:tabs>
        <w:tab w:val="center" w:pos="4680"/>
        <w:tab w:val="right" w:pos="9360"/>
      </w:tabs>
    </w:pPr>
  </w:style>
  <w:style w:type="character" w:customStyle="1" w:styleId="FooterChar">
    <w:name w:val="Footer Char"/>
    <w:basedOn w:val="DefaultParagraphFont"/>
    <w:link w:val="Footer"/>
    <w:uiPriority w:val="99"/>
    <w:rsid w:val="00BD33A9"/>
    <w:rPr>
      <w:rFonts w:ascii="Calibri" w:eastAsia="Calibri" w:hAnsi="Calibri" w:cs="Calibri"/>
      <w:sz w:val="24"/>
      <w:szCs w:val="24"/>
      <w:lang w:eastAsia="en-GB"/>
    </w:rPr>
  </w:style>
  <w:style w:type="paragraph" w:styleId="ListParagraph">
    <w:name w:val="List Paragraph"/>
    <w:basedOn w:val="Normal"/>
    <w:autoRedefine/>
    <w:uiPriority w:val="34"/>
    <w:qFormat/>
    <w:rsid w:val="00FC3A37"/>
    <w:pPr>
      <w:numPr>
        <w:numId w:val="39"/>
      </w:numPr>
      <w:contextualSpacing/>
    </w:pPr>
  </w:style>
  <w:style w:type="character" w:customStyle="1" w:styleId="Heading2Char">
    <w:name w:val="Heading 2 Char"/>
    <w:basedOn w:val="DefaultParagraphFont"/>
    <w:link w:val="Heading2"/>
    <w:uiPriority w:val="9"/>
    <w:rsid w:val="004D0354"/>
    <w:rPr>
      <w:rFonts w:eastAsia="Arial" w:cs="Arial"/>
      <w:b/>
      <w:color w:val="00AABE"/>
      <w:sz w:val="28"/>
      <w:szCs w:val="28"/>
    </w:rPr>
  </w:style>
  <w:style w:type="character" w:customStyle="1" w:styleId="Heading3Char">
    <w:name w:val="Heading 3 Char"/>
    <w:basedOn w:val="DefaultParagraphFont"/>
    <w:link w:val="Heading3"/>
    <w:uiPriority w:val="9"/>
    <w:rsid w:val="002B4148"/>
    <w:rPr>
      <w:rFonts w:eastAsia="Arial" w:cs="Arial"/>
      <w:b/>
      <w:color w:val="005F9A"/>
    </w:rPr>
  </w:style>
  <w:style w:type="character" w:styleId="Hyperlink">
    <w:name w:val="Hyperlink"/>
    <w:basedOn w:val="DefaultParagraphFont"/>
    <w:uiPriority w:val="99"/>
    <w:unhideWhenUsed/>
    <w:qFormat/>
    <w:rsid w:val="000C7766"/>
    <w:rPr>
      <w:rFonts w:ascii="Arial" w:hAnsi="Arial"/>
      <w:color w:val="005F9A"/>
      <w:u w:val="single"/>
    </w:rPr>
  </w:style>
  <w:style w:type="paragraph" w:styleId="NormalWeb">
    <w:name w:val="Normal (Web)"/>
    <w:basedOn w:val="Normal"/>
    <w:uiPriority w:val="99"/>
    <w:unhideWhenUsed/>
    <w:rsid w:val="00C72095"/>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8C429D"/>
    <w:pPr>
      <w:spacing w:line="259" w:lineRule="auto"/>
      <w:outlineLvl w:val="9"/>
    </w:pPr>
    <w:rPr>
      <w:lang w:eastAsia="en-US"/>
    </w:rPr>
  </w:style>
  <w:style w:type="paragraph" w:styleId="TOC1">
    <w:name w:val="toc 1"/>
    <w:basedOn w:val="Normal"/>
    <w:next w:val="Normal"/>
    <w:autoRedefine/>
    <w:uiPriority w:val="39"/>
    <w:unhideWhenUsed/>
    <w:rsid w:val="008C429D"/>
    <w:pPr>
      <w:tabs>
        <w:tab w:val="right" w:leader="dot" w:pos="9730"/>
      </w:tabs>
      <w:spacing w:after="100"/>
    </w:pPr>
    <w:rPr>
      <w:rFonts w:eastAsia="Arial" w:cs="Arial"/>
      <w:b/>
      <w:noProof/>
      <w:color w:val="00AABE"/>
    </w:rPr>
  </w:style>
  <w:style w:type="paragraph" w:styleId="TOC2">
    <w:name w:val="toc 2"/>
    <w:basedOn w:val="Normal"/>
    <w:next w:val="Normal"/>
    <w:autoRedefine/>
    <w:uiPriority w:val="39"/>
    <w:unhideWhenUsed/>
    <w:rsid w:val="008C429D"/>
    <w:pPr>
      <w:tabs>
        <w:tab w:val="right" w:leader="dot" w:pos="9730"/>
      </w:tabs>
      <w:spacing w:after="100"/>
      <w:ind w:left="240"/>
    </w:pPr>
    <w:rPr>
      <w:rFonts w:eastAsia="Times New Roman" w:cs="Arial"/>
      <w:b/>
      <w:noProof/>
      <w:color w:val="005F9A"/>
    </w:rPr>
  </w:style>
  <w:style w:type="paragraph" w:styleId="TOC3">
    <w:name w:val="toc 3"/>
    <w:basedOn w:val="Normal"/>
    <w:next w:val="Normal"/>
    <w:autoRedefine/>
    <w:uiPriority w:val="39"/>
    <w:unhideWhenUsed/>
    <w:rsid w:val="008C429D"/>
    <w:pPr>
      <w:spacing w:after="100"/>
      <w:ind w:left="480"/>
    </w:p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Cs w:val="20"/>
    </w:rPr>
  </w:style>
  <w:style w:type="character" w:customStyle="1" w:styleId="CommentTextChar">
    <w:name w:val="Comment Text Char"/>
    <w:basedOn w:val="DefaultParagraphFont"/>
    <w:link w:val="CommentText"/>
    <w:uiPriority w:val="99"/>
    <w:rsid w:val="008832FB"/>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8832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32FB"/>
    <w:rPr>
      <w:rFonts w:ascii="Times New Roman" w:eastAsia="Calibri" w:hAnsi="Times New Roman" w:cs="Times New Roman"/>
      <w:sz w:val="18"/>
      <w:szCs w:val="18"/>
      <w:lang w:eastAsia="en-GB"/>
    </w:rPr>
  </w:style>
  <w:style w:type="paragraph" w:styleId="Revision">
    <w:name w:val="Revision"/>
    <w:hidden/>
    <w:uiPriority w:val="99"/>
    <w:semiHidden/>
    <w:rsid w:val="00C94B2E"/>
    <w:rPr>
      <w:lang w:eastAsia="en-GB"/>
    </w:rPr>
  </w:style>
  <w:style w:type="character" w:customStyle="1" w:styleId="Heading4Char">
    <w:name w:val="Heading 4 Char"/>
    <w:aliases w:val="assessment-criteria Char"/>
    <w:basedOn w:val="DefaultParagraphFont"/>
    <w:link w:val="Heading4"/>
    <w:uiPriority w:val="9"/>
    <w:rsid w:val="001030B6"/>
    <w:rPr>
      <w:rFonts w:eastAsiaTheme="majorEastAsia" w:cs="Arial"/>
      <w:b/>
      <w:iCs/>
      <w:sz w:val="20"/>
      <w:lang w:eastAsia="en-GB"/>
    </w:rPr>
  </w:style>
  <w:style w:type="table" w:styleId="TableGrid">
    <w:name w:val="Table Grid"/>
    <w:basedOn w:val="TableNormal"/>
    <w:uiPriority w:val="39"/>
    <w:rsid w:val="00E76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e-size">
    <w:name w:val="file-size"/>
    <w:basedOn w:val="DefaultParagraphFont"/>
    <w:rsid w:val="00D12E0B"/>
  </w:style>
  <w:style w:type="character" w:styleId="FollowedHyperlink">
    <w:name w:val="FollowedHyperlink"/>
    <w:basedOn w:val="DefaultParagraphFont"/>
    <w:uiPriority w:val="99"/>
    <w:semiHidden/>
    <w:unhideWhenUsed/>
    <w:rsid w:val="00C70CAC"/>
    <w:rPr>
      <w:color w:val="954F72" w:themeColor="followedHyperlink"/>
      <w:u w:val="single"/>
    </w:rPr>
  </w:style>
  <w:style w:type="character" w:customStyle="1" w:styleId="UnresolvedMention1">
    <w:name w:val="Unresolved Mention1"/>
    <w:basedOn w:val="DefaultParagraphFont"/>
    <w:uiPriority w:val="99"/>
    <w:semiHidden/>
    <w:unhideWhenUsed/>
    <w:rsid w:val="00FD7431"/>
    <w:rPr>
      <w:color w:val="605E5C"/>
      <w:shd w:val="clear" w:color="auto" w:fill="E1DFDD"/>
    </w:rPr>
  </w:style>
  <w:style w:type="character" w:customStyle="1" w:styleId="markedcontent">
    <w:name w:val="markedcontent"/>
    <w:basedOn w:val="DefaultParagraphFont"/>
    <w:rsid w:val="009B2957"/>
  </w:style>
  <w:style w:type="character" w:customStyle="1" w:styleId="Mentionnonrsolue1">
    <w:name w:val="Mention non résolue1"/>
    <w:basedOn w:val="DefaultParagraphFont"/>
    <w:uiPriority w:val="99"/>
    <w:semiHidden/>
    <w:unhideWhenUsed/>
    <w:rsid w:val="00ED059B"/>
    <w:rPr>
      <w:color w:val="605E5C"/>
      <w:shd w:val="clear" w:color="auto" w:fill="E1DFDD"/>
    </w:rPr>
  </w:style>
  <w:style w:type="paragraph" w:styleId="Subtitle">
    <w:name w:val="Subtitle"/>
    <w:basedOn w:val="Normal"/>
    <w:next w:val="Normal"/>
    <w:link w:val="SubtitleChar"/>
    <w:autoRedefine/>
    <w:qFormat/>
    <w:rsid w:val="000C1635"/>
    <w:pPr>
      <w:keepNext/>
      <w:keepLines/>
      <w:spacing w:before="200" w:after="120"/>
    </w:pPr>
    <w:rPr>
      <w:rFonts w:eastAsia="Georgia" w:cs="Georgia"/>
      <w:b/>
      <w:sz w:val="22"/>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5" w:type="dxa"/>
        <w:left w:w="15" w:type="dxa"/>
        <w:bottom w:w="15" w:type="dxa"/>
        <w:right w:w="15" w:type="dxa"/>
      </w:tblCellMar>
    </w:tblPr>
  </w:style>
  <w:style w:type="table" w:customStyle="1" w:styleId="affff">
    <w:basedOn w:val="TableNormal"/>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top w:w="15" w:type="dxa"/>
        <w:left w:w="15" w:type="dxa"/>
        <w:bottom w:w="15" w:type="dxa"/>
        <w:right w:w="15" w:type="dxa"/>
      </w:tblCellMar>
    </w:tblPr>
  </w:style>
  <w:style w:type="table" w:customStyle="1" w:styleId="affff1">
    <w:basedOn w:val="TableNormal"/>
    <w:tblPr>
      <w:tblStyleRowBandSize w:val="1"/>
      <w:tblStyleColBandSize w:val="1"/>
      <w:tblCellMar>
        <w:top w:w="15" w:type="dxa"/>
        <w:left w:w="15" w:type="dxa"/>
        <w:bottom w:w="15" w:type="dxa"/>
        <w:right w:w="15" w:type="dxa"/>
      </w:tblCellMar>
    </w:tblPr>
  </w:style>
  <w:style w:type="table" w:customStyle="1" w:styleId="affff2">
    <w:basedOn w:val="TableNormal"/>
    <w:tblPr>
      <w:tblStyleRowBandSize w:val="1"/>
      <w:tblStyleColBandSize w:val="1"/>
      <w:tblCellMar>
        <w:top w:w="15" w:type="dxa"/>
        <w:left w:w="15" w:type="dxa"/>
        <w:bottom w:w="15" w:type="dxa"/>
        <w:right w:w="15" w:type="dxa"/>
      </w:tblCellMar>
    </w:tblPr>
  </w:style>
  <w:style w:type="table" w:customStyle="1" w:styleId="affff3">
    <w:basedOn w:val="TableNormal"/>
    <w:tblPr>
      <w:tblStyleRowBandSize w:val="1"/>
      <w:tblStyleColBandSize w:val="1"/>
      <w:tblCellMar>
        <w:top w:w="15" w:type="dxa"/>
        <w:left w:w="15" w:type="dxa"/>
        <w:bottom w:w="15" w:type="dxa"/>
        <w:right w:w="15" w:type="dxa"/>
      </w:tblCellMar>
    </w:tblPr>
  </w:style>
  <w:style w:type="table" w:customStyle="1" w:styleId="affff4">
    <w:basedOn w:val="TableNormal"/>
    <w:tblPr>
      <w:tblStyleRowBandSize w:val="1"/>
      <w:tblStyleColBandSize w:val="1"/>
      <w:tblCellMar>
        <w:top w:w="15" w:type="dxa"/>
        <w:left w:w="15" w:type="dxa"/>
        <w:bottom w:w="15" w:type="dxa"/>
        <w:right w:w="15" w:type="dxa"/>
      </w:tblCellMar>
    </w:tblPr>
  </w:style>
  <w:style w:type="table" w:customStyle="1" w:styleId="affff5">
    <w:basedOn w:val="TableNormal"/>
    <w:tblPr>
      <w:tblStyleRowBandSize w:val="1"/>
      <w:tblStyleColBandSize w:val="1"/>
      <w:tblCellMar>
        <w:top w:w="15" w:type="dxa"/>
        <w:left w:w="15" w:type="dxa"/>
        <w:bottom w:w="15" w:type="dxa"/>
        <w:right w:w="15" w:type="dxa"/>
      </w:tblCellMar>
    </w:tblPr>
  </w:style>
  <w:style w:type="table" w:customStyle="1" w:styleId="affff6">
    <w:basedOn w:val="TableNormal"/>
    <w:tblPr>
      <w:tblStyleRowBandSize w:val="1"/>
      <w:tblStyleColBandSize w:val="1"/>
      <w:tblCellMar>
        <w:top w:w="15" w:type="dxa"/>
        <w:left w:w="15" w:type="dxa"/>
        <w:bottom w:w="15" w:type="dxa"/>
        <w:right w:w="15" w:type="dxa"/>
      </w:tblCellMar>
    </w:tblPr>
  </w:style>
  <w:style w:type="table" w:customStyle="1" w:styleId="affff7">
    <w:basedOn w:val="TableNormal"/>
    <w:tblPr>
      <w:tblStyleRowBandSize w:val="1"/>
      <w:tblStyleColBandSize w:val="1"/>
      <w:tblCellMar>
        <w:top w:w="15" w:type="dxa"/>
        <w:left w:w="15" w:type="dxa"/>
        <w:bottom w:w="15" w:type="dxa"/>
        <w:right w:w="15" w:type="dxa"/>
      </w:tblCellMar>
    </w:tblPr>
  </w:style>
  <w:style w:type="table" w:customStyle="1" w:styleId="affff8">
    <w:basedOn w:val="TableNormal"/>
    <w:tblPr>
      <w:tblStyleRowBandSize w:val="1"/>
      <w:tblStyleColBandSize w:val="1"/>
      <w:tblCellMar>
        <w:top w:w="15" w:type="dxa"/>
        <w:left w:w="15" w:type="dxa"/>
        <w:bottom w:w="15" w:type="dxa"/>
        <w:right w:w="15" w:type="dxa"/>
      </w:tblCellMar>
    </w:tblPr>
  </w:style>
  <w:style w:type="table" w:customStyle="1" w:styleId="affff9">
    <w:basedOn w:val="TableNormal"/>
    <w:tblPr>
      <w:tblStyleRowBandSize w:val="1"/>
      <w:tblStyleColBandSize w:val="1"/>
      <w:tblCellMar>
        <w:top w:w="15" w:type="dxa"/>
        <w:left w:w="15" w:type="dxa"/>
        <w:bottom w:w="15" w:type="dxa"/>
        <w:right w:w="15" w:type="dxa"/>
      </w:tblCellMar>
    </w:tblPr>
  </w:style>
  <w:style w:type="table" w:customStyle="1" w:styleId="affffa">
    <w:basedOn w:val="TableNormal"/>
    <w:tblPr>
      <w:tblStyleRowBandSize w:val="1"/>
      <w:tblStyleColBandSize w:val="1"/>
      <w:tblCellMar>
        <w:top w:w="15" w:type="dxa"/>
        <w:left w:w="15" w:type="dxa"/>
        <w:bottom w:w="15" w:type="dxa"/>
        <w:right w:w="15" w:type="dxa"/>
      </w:tblCellMar>
    </w:tblPr>
  </w:style>
  <w:style w:type="table" w:customStyle="1" w:styleId="affffb">
    <w:basedOn w:val="TableNormal"/>
    <w:tblPr>
      <w:tblStyleRowBandSize w:val="1"/>
      <w:tblStyleColBandSize w:val="1"/>
      <w:tblCellMar>
        <w:top w:w="15" w:type="dxa"/>
        <w:left w:w="15" w:type="dxa"/>
        <w:bottom w:w="15" w:type="dxa"/>
        <w:right w:w="15" w:type="dxa"/>
      </w:tblCellMar>
    </w:tblPr>
  </w:style>
  <w:style w:type="table" w:customStyle="1" w:styleId="affffc">
    <w:basedOn w:val="TableNormal"/>
    <w:tblPr>
      <w:tblStyleRowBandSize w:val="1"/>
      <w:tblStyleColBandSize w:val="1"/>
      <w:tblCellMar>
        <w:top w:w="15" w:type="dxa"/>
        <w:left w:w="15" w:type="dxa"/>
        <w:bottom w:w="15" w:type="dxa"/>
        <w:right w:w="15" w:type="dxa"/>
      </w:tblCellMar>
    </w:tblPr>
  </w:style>
  <w:style w:type="table" w:customStyle="1" w:styleId="affffd">
    <w:basedOn w:val="TableNormal"/>
    <w:tblPr>
      <w:tblStyleRowBandSize w:val="1"/>
      <w:tblStyleColBandSize w:val="1"/>
      <w:tblCellMar>
        <w:top w:w="15" w:type="dxa"/>
        <w:left w:w="15" w:type="dxa"/>
        <w:bottom w:w="15" w:type="dxa"/>
        <w:right w:w="15" w:type="dxa"/>
      </w:tblCellMar>
    </w:tblPr>
  </w:style>
  <w:style w:type="table" w:customStyle="1" w:styleId="affffe">
    <w:basedOn w:val="TableNormal"/>
    <w:tblPr>
      <w:tblStyleRowBandSize w:val="1"/>
      <w:tblStyleColBandSize w:val="1"/>
      <w:tblCellMar>
        <w:top w:w="15" w:type="dxa"/>
        <w:left w:w="15" w:type="dxa"/>
        <w:bottom w:w="15" w:type="dxa"/>
        <w:right w:w="15" w:type="dxa"/>
      </w:tblCellMar>
    </w:tblPr>
  </w:style>
  <w:style w:type="table" w:customStyle="1" w:styleId="afffff">
    <w:basedOn w:val="TableNormal"/>
    <w:tblPr>
      <w:tblStyleRowBandSize w:val="1"/>
      <w:tblStyleColBandSize w:val="1"/>
      <w:tblCellMar>
        <w:top w:w="15" w:type="dxa"/>
        <w:left w:w="15" w:type="dxa"/>
        <w:bottom w:w="15" w:type="dxa"/>
        <w:right w:w="15" w:type="dxa"/>
      </w:tblCellMar>
    </w:tblPr>
  </w:style>
  <w:style w:type="table" w:customStyle="1" w:styleId="afffff0">
    <w:basedOn w:val="TableNormal"/>
    <w:tblPr>
      <w:tblStyleRowBandSize w:val="1"/>
      <w:tblStyleColBandSize w:val="1"/>
      <w:tblCellMar>
        <w:top w:w="15" w:type="dxa"/>
        <w:left w:w="15" w:type="dxa"/>
        <w:bottom w:w="15" w:type="dxa"/>
        <w:right w:w="15" w:type="dxa"/>
      </w:tblCellMar>
    </w:tblPr>
  </w:style>
  <w:style w:type="table" w:customStyle="1" w:styleId="afffff1">
    <w:basedOn w:val="TableNormal"/>
    <w:tblPr>
      <w:tblStyleRowBandSize w:val="1"/>
      <w:tblStyleColBandSize w:val="1"/>
      <w:tblCellMar>
        <w:top w:w="15" w:type="dxa"/>
        <w:left w:w="15" w:type="dxa"/>
        <w:bottom w:w="15" w:type="dxa"/>
        <w:right w:w="15" w:type="dxa"/>
      </w:tblCellMar>
    </w:tblPr>
  </w:style>
  <w:style w:type="table" w:customStyle="1" w:styleId="afffff2">
    <w:basedOn w:val="TableNormal"/>
    <w:tblPr>
      <w:tblStyleRowBandSize w:val="1"/>
      <w:tblStyleColBandSize w:val="1"/>
      <w:tblCellMar>
        <w:top w:w="15" w:type="dxa"/>
        <w:left w:w="15" w:type="dxa"/>
        <w:bottom w:w="15" w:type="dxa"/>
        <w:right w:w="15" w:type="dxa"/>
      </w:tblCellMar>
    </w:tblPr>
  </w:style>
  <w:style w:type="table" w:customStyle="1" w:styleId="afffff3">
    <w:basedOn w:val="TableNormal"/>
    <w:tblPr>
      <w:tblStyleRowBandSize w:val="1"/>
      <w:tblStyleColBandSize w:val="1"/>
      <w:tblCellMar>
        <w:top w:w="15" w:type="dxa"/>
        <w:left w:w="15" w:type="dxa"/>
        <w:bottom w:w="15" w:type="dxa"/>
        <w:right w:w="15" w:type="dxa"/>
      </w:tblCellMar>
    </w:tblPr>
  </w:style>
  <w:style w:type="table" w:customStyle="1" w:styleId="afffff4">
    <w:basedOn w:val="TableNormal"/>
    <w:tblPr>
      <w:tblStyleRowBandSize w:val="1"/>
      <w:tblStyleColBandSize w:val="1"/>
      <w:tblCellMar>
        <w:top w:w="15" w:type="dxa"/>
        <w:left w:w="15" w:type="dxa"/>
        <w:bottom w:w="15" w:type="dxa"/>
        <w:right w:w="15" w:type="dxa"/>
      </w:tblCellMar>
    </w:tblPr>
  </w:style>
  <w:style w:type="table" w:customStyle="1" w:styleId="afffff5">
    <w:basedOn w:val="TableNormal"/>
    <w:tblPr>
      <w:tblStyleRowBandSize w:val="1"/>
      <w:tblStyleColBandSize w:val="1"/>
      <w:tblCellMar>
        <w:top w:w="15" w:type="dxa"/>
        <w:left w:w="15" w:type="dxa"/>
        <w:bottom w:w="15" w:type="dxa"/>
        <w:right w:w="15" w:type="dxa"/>
      </w:tblCellMar>
    </w:tblPr>
  </w:style>
  <w:style w:type="table" w:customStyle="1" w:styleId="afffff6">
    <w:basedOn w:val="TableNormal"/>
    <w:tblPr>
      <w:tblStyleRowBandSize w:val="1"/>
      <w:tblStyleColBandSize w:val="1"/>
      <w:tblCellMar>
        <w:top w:w="15" w:type="dxa"/>
        <w:left w:w="15" w:type="dxa"/>
        <w:bottom w:w="15" w:type="dxa"/>
        <w:right w:w="15" w:type="dxa"/>
      </w:tblCellMar>
    </w:tblPr>
  </w:style>
  <w:style w:type="table" w:customStyle="1" w:styleId="afffff7">
    <w:basedOn w:val="TableNormal"/>
    <w:tblPr>
      <w:tblStyleRowBandSize w:val="1"/>
      <w:tblStyleColBandSize w:val="1"/>
      <w:tblCellMar>
        <w:top w:w="15" w:type="dxa"/>
        <w:left w:w="15" w:type="dxa"/>
        <w:bottom w:w="15" w:type="dxa"/>
        <w:right w:w="15" w:type="dxa"/>
      </w:tblCellMar>
    </w:tblPr>
  </w:style>
  <w:style w:type="table" w:customStyle="1" w:styleId="afffff8">
    <w:basedOn w:val="TableNormal"/>
    <w:tblPr>
      <w:tblStyleRowBandSize w:val="1"/>
      <w:tblStyleColBandSize w:val="1"/>
      <w:tblCellMar>
        <w:top w:w="15" w:type="dxa"/>
        <w:left w:w="15" w:type="dxa"/>
        <w:bottom w:w="15" w:type="dxa"/>
        <w:right w:w="15" w:type="dxa"/>
      </w:tblCellMar>
    </w:tblPr>
  </w:style>
  <w:style w:type="table" w:customStyle="1" w:styleId="afffff9">
    <w:basedOn w:val="TableNormal"/>
    <w:tblPr>
      <w:tblStyleRowBandSize w:val="1"/>
      <w:tblStyleColBandSize w:val="1"/>
      <w:tblCellMar>
        <w:top w:w="15" w:type="dxa"/>
        <w:left w:w="15" w:type="dxa"/>
        <w:bottom w:w="15" w:type="dxa"/>
        <w:right w:w="15" w:type="dxa"/>
      </w:tblCellMar>
    </w:tblPr>
  </w:style>
  <w:style w:type="table" w:customStyle="1" w:styleId="afffffa">
    <w:basedOn w:val="TableNormal"/>
    <w:tblPr>
      <w:tblStyleRowBandSize w:val="1"/>
      <w:tblStyleColBandSize w:val="1"/>
      <w:tblCellMar>
        <w:top w:w="15" w:type="dxa"/>
        <w:left w:w="15" w:type="dxa"/>
        <w:bottom w:w="15" w:type="dxa"/>
        <w:right w:w="15" w:type="dxa"/>
      </w:tblCellMar>
    </w:tblPr>
  </w:style>
  <w:style w:type="table" w:customStyle="1" w:styleId="afffffb">
    <w:basedOn w:val="TableNormal"/>
    <w:tblPr>
      <w:tblStyleRowBandSize w:val="1"/>
      <w:tblStyleColBandSize w:val="1"/>
      <w:tblCellMar>
        <w:top w:w="15" w:type="dxa"/>
        <w:left w:w="15" w:type="dxa"/>
        <w:bottom w:w="15" w:type="dxa"/>
        <w:right w:w="15" w:type="dxa"/>
      </w:tblCellMar>
    </w:tblPr>
  </w:style>
  <w:style w:type="table" w:customStyle="1" w:styleId="afffffc">
    <w:basedOn w:val="TableNormal"/>
    <w:tblPr>
      <w:tblStyleRowBandSize w:val="1"/>
      <w:tblStyleColBandSize w:val="1"/>
      <w:tblCellMar>
        <w:top w:w="15" w:type="dxa"/>
        <w:left w:w="15" w:type="dxa"/>
        <w:bottom w:w="15" w:type="dxa"/>
        <w:right w:w="15" w:type="dxa"/>
      </w:tblCellMar>
    </w:tblPr>
  </w:style>
  <w:style w:type="table" w:customStyle="1" w:styleId="afffffd">
    <w:basedOn w:val="TableNormal"/>
    <w:tblPr>
      <w:tblStyleRowBandSize w:val="1"/>
      <w:tblStyleColBandSize w:val="1"/>
      <w:tblCellMar>
        <w:top w:w="15" w:type="dxa"/>
        <w:left w:w="15" w:type="dxa"/>
        <w:bottom w:w="15" w:type="dxa"/>
        <w:right w:w="15" w:type="dxa"/>
      </w:tblCellMar>
    </w:tblPr>
  </w:style>
  <w:style w:type="table" w:customStyle="1" w:styleId="afffffe">
    <w:basedOn w:val="TableNormal"/>
    <w:tblPr>
      <w:tblStyleRowBandSize w:val="1"/>
      <w:tblStyleColBandSize w:val="1"/>
      <w:tblCellMar>
        <w:top w:w="15" w:type="dxa"/>
        <w:left w:w="15" w:type="dxa"/>
        <w:bottom w:w="15" w:type="dxa"/>
        <w:right w:w="15" w:type="dxa"/>
      </w:tblCellMar>
    </w:tblPr>
  </w:style>
  <w:style w:type="table" w:customStyle="1" w:styleId="affffff">
    <w:basedOn w:val="TableNormal"/>
    <w:tblPr>
      <w:tblStyleRowBandSize w:val="1"/>
      <w:tblStyleColBandSize w:val="1"/>
      <w:tblCellMar>
        <w:top w:w="15" w:type="dxa"/>
        <w:left w:w="15" w:type="dxa"/>
        <w:bottom w:w="15" w:type="dxa"/>
        <w:right w:w="15" w:type="dxa"/>
      </w:tblCellMar>
    </w:tblPr>
  </w:style>
  <w:style w:type="table" w:customStyle="1" w:styleId="affffff0">
    <w:basedOn w:val="TableNormal"/>
    <w:tblPr>
      <w:tblStyleRowBandSize w:val="1"/>
      <w:tblStyleColBandSize w:val="1"/>
      <w:tblCellMar>
        <w:top w:w="15" w:type="dxa"/>
        <w:left w:w="15" w:type="dxa"/>
        <w:bottom w:w="15" w:type="dxa"/>
        <w:right w:w="15" w:type="dxa"/>
      </w:tblCellMar>
    </w:tblPr>
  </w:style>
  <w:style w:type="table" w:customStyle="1" w:styleId="affffff1">
    <w:basedOn w:val="TableNormal"/>
    <w:tblPr>
      <w:tblStyleRowBandSize w:val="1"/>
      <w:tblStyleColBandSize w:val="1"/>
      <w:tblCellMar>
        <w:top w:w="15" w:type="dxa"/>
        <w:left w:w="15" w:type="dxa"/>
        <w:bottom w:w="15" w:type="dxa"/>
        <w:right w:w="15" w:type="dxa"/>
      </w:tblCellMar>
    </w:tblPr>
  </w:style>
  <w:style w:type="table" w:customStyle="1" w:styleId="affffff2">
    <w:basedOn w:val="TableNormal"/>
    <w:tblPr>
      <w:tblStyleRowBandSize w:val="1"/>
      <w:tblStyleColBandSize w:val="1"/>
      <w:tblCellMar>
        <w:top w:w="15" w:type="dxa"/>
        <w:left w:w="15" w:type="dxa"/>
        <w:bottom w:w="15" w:type="dxa"/>
        <w:right w:w="15" w:type="dxa"/>
      </w:tblCellMar>
    </w:tblPr>
  </w:style>
  <w:style w:type="table" w:customStyle="1" w:styleId="affffff3">
    <w:basedOn w:val="TableNormal"/>
    <w:tblPr>
      <w:tblStyleRowBandSize w:val="1"/>
      <w:tblStyleColBandSize w:val="1"/>
      <w:tblCellMar>
        <w:top w:w="15" w:type="dxa"/>
        <w:left w:w="15" w:type="dxa"/>
        <w:bottom w:w="15" w:type="dxa"/>
        <w:right w:w="15" w:type="dxa"/>
      </w:tblCellMar>
    </w:tblPr>
  </w:style>
  <w:style w:type="table" w:customStyle="1" w:styleId="affffff4">
    <w:basedOn w:val="TableNormal"/>
    <w:tblPr>
      <w:tblStyleRowBandSize w:val="1"/>
      <w:tblStyleColBandSize w:val="1"/>
      <w:tblCellMar>
        <w:top w:w="15" w:type="dxa"/>
        <w:left w:w="15" w:type="dxa"/>
        <w:bottom w:w="15" w:type="dxa"/>
        <w:right w:w="15" w:type="dxa"/>
      </w:tblCellMar>
    </w:tblPr>
  </w:style>
  <w:style w:type="table" w:customStyle="1" w:styleId="affffff5">
    <w:basedOn w:val="TableNormal"/>
    <w:tblPr>
      <w:tblStyleRowBandSize w:val="1"/>
      <w:tblStyleColBandSize w:val="1"/>
      <w:tblCellMar>
        <w:top w:w="15" w:type="dxa"/>
        <w:left w:w="15" w:type="dxa"/>
        <w:bottom w:w="15" w:type="dxa"/>
        <w:right w:w="15" w:type="dxa"/>
      </w:tblCellMar>
    </w:tbl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tblPr>
      <w:tblStyleRowBandSize w:val="1"/>
      <w:tblStyleColBandSize w:val="1"/>
      <w:tblCellMar>
        <w:top w:w="15" w:type="dxa"/>
        <w:left w:w="15" w:type="dxa"/>
        <w:bottom w:w="15" w:type="dxa"/>
        <w:right w:w="15" w:type="dxa"/>
      </w:tblCellMar>
    </w:tblPr>
  </w:style>
  <w:style w:type="table" w:customStyle="1" w:styleId="affffff8">
    <w:basedOn w:val="TableNormal"/>
    <w:tblPr>
      <w:tblStyleRowBandSize w:val="1"/>
      <w:tblStyleColBandSize w:val="1"/>
      <w:tblCellMar>
        <w:top w:w="15" w:type="dxa"/>
        <w:left w:w="15" w:type="dxa"/>
        <w:bottom w:w="15" w:type="dxa"/>
        <w:right w:w="15" w:type="dxa"/>
      </w:tblCellMar>
    </w:tbl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CellMar>
        <w:top w:w="15" w:type="dxa"/>
        <w:left w:w="15" w:type="dxa"/>
        <w:bottom w:w="15" w:type="dxa"/>
        <w:right w:w="15" w:type="dxa"/>
      </w:tblCellMar>
    </w:tblPr>
  </w:style>
  <w:style w:type="table" w:customStyle="1" w:styleId="affffffb">
    <w:basedOn w:val="TableNormal"/>
    <w:tblPr>
      <w:tblStyleRowBandSize w:val="1"/>
      <w:tblStyleColBandSize w:val="1"/>
      <w:tblCellMar>
        <w:top w:w="15" w:type="dxa"/>
        <w:left w:w="15" w:type="dxa"/>
        <w:bottom w:w="15" w:type="dxa"/>
        <w:right w:w="15" w:type="dxa"/>
      </w:tblCellMar>
    </w:tblPr>
  </w:style>
  <w:style w:type="table" w:customStyle="1" w:styleId="affffffc">
    <w:basedOn w:val="TableNormal"/>
    <w:tblPr>
      <w:tblStyleRowBandSize w:val="1"/>
      <w:tblStyleColBandSize w:val="1"/>
      <w:tblCellMar>
        <w:top w:w="15" w:type="dxa"/>
        <w:left w:w="15" w:type="dxa"/>
        <w:bottom w:w="15" w:type="dxa"/>
        <w:right w:w="15" w:type="dxa"/>
      </w:tblCellMar>
    </w:tblPr>
  </w:style>
  <w:style w:type="table" w:customStyle="1" w:styleId="affffffd">
    <w:basedOn w:val="TableNormal"/>
    <w:tblPr>
      <w:tblStyleRowBandSize w:val="1"/>
      <w:tblStyleColBandSize w:val="1"/>
      <w:tblCellMar>
        <w:top w:w="15" w:type="dxa"/>
        <w:left w:w="15" w:type="dxa"/>
        <w:bottom w:w="15" w:type="dxa"/>
        <w:right w:w="15" w:type="dxa"/>
      </w:tblCellMar>
    </w:tblPr>
  </w:style>
  <w:style w:type="table" w:customStyle="1" w:styleId="affffffe">
    <w:basedOn w:val="TableNormal"/>
    <w:tblPr>
      <w:tblStyleRowBandSize w:val="1"/>
      <w:tblStyleColBandSize w:val="1"/>
      <w:tblCellMar>
        <w:top w:w="15" w:type="dxa"/>
        <w:left w:w="15" w:type="dxa"/>
        <w:bottom w:w="15" w:type="dxa"/>
        <w:right w:w="15" w:type="dxa"/>
      </w:tblCellMar>
    </w:tblPr>
  </w:style>
  <w:style w:type="table" w:customStyle="1" w:styleId="afffffff">
    <w:basedOn w:val="TableNormal"/>
    <w:tblPr>
      <w:tblStyleRowBandSize w:val="1"/>
      <w:tblStyleColBandSize w:val="1"/>
      <w:tblCellMar>
        <w:top w:w="15" w:type="dxa"/>
        <w:left w:w="15" w:type="dxa"/>
        <w:bottom w:w="15" w:type="dxa"/>
        <w:right w:w="15" w:type="dxa"/>
      </w:tblCellMar>
    </w:tblPr>
  </w:style>
  <w:style w:type="table" w:customStyle="1" w:styleId="afffffff0">
    <w:basedOn w:val="TableNormal"/>
    <w:tblPr>
      <w:tblStyleRowBandSize w:val="1"/>
      <w:tblStyleColBandSize w:val="1"/>
      <w:tblCellMar>
        <w:top w:w="15" w:type="dxa"/>
        <w:left w:w="15" w:type="dxa"/>
        <w:bottom w:w="15" w:type="dxa"/>
        <w:right w:w="15" w:type="dxa"/>
      </w:tblCellMar>
    </w:tblPr>
  </w:style>
  <w:style w:type="table" w:customStyle="1" w:styleId="afffffff1">
    <w:basedOn w:val="TableNormal"/>
    <w:tblPr>
      <w:tblStyleRowBandSize w:val="1"/>
      <w:tblStyleColBandSize w:val="1"/>
      <w:tblCellMar>
        <w:top w:w="15" w:type="dxa"/>
        <w:left w:w="15" w:type="dxa"/>
        <w:bottom w:w="15" w:type="dxa"/>
        <w:right w:w="15" w:type="dxa"/>
      </w:tblCellMar>
    </w:tblPr>
  </w:style>
  <w:style w:type="table" w:customStyle="1" w:styleId="afffffff2">
    <w:basedOn w:val="TableNormal"/>
    <w:tblPr>
      <w:tblStyleRowBandSize w:val="1"/>
      <w:tblStyleColBandSize w:val="1"/>
      <w:tblCellMar>
        <w:top w:w="15" w:type="dxa"/>
        <w:left w:w="15" w:type="dxa"/>
        <w:bottom w:w="15" w:type="dxa"/>
        <w:right w:w="15" w:type="dxa"/>
      </w:tblCellMar>
    </w:tblPr>
  </w:style>
  <w:style w:type="table" w:customStyle="1" w:styleId="afffffff3">
    <w:basedOn w:val="TableNormal"/>
    <w:tblPr>
      <w:tblStyleRowBandSize w:val="1"/>
      <w:tblStyleColBandSize w:val="1"/>
      <w:tblCellMar>
        <w:top w:w="15" w:type="dxa"/>
        <w:left w:w="15" w:type="dxa"/>
        <w:bottom w:w="15" w:type="dxa"/>
        <w:right w:w="15" w:type="dxa"/>
      </w:tblCellMar>
    </w:tblPr>
  </w:style>
  <w:style w:type="table" w:customStyle="1" w:styleId="afffffff4">
    <w:basedOn w:val="TableNormal"/>
    <w:tblPr>
      <w:tblStyleRowBandSize w:val="1"/>
      <w:tblStyleColBandSize w:val="1"/>
      <w:tblCellMar>
        <w:top w:w="15" w:type="dxa"/>
        <w:left w:w="15" w:type="dxa"/>
        <w:bottom w:w="15" w:type="dxa"/>
        <w:right w:w="15" w:type="dxa"/>
      </w:tblCellMar>
    </w:tblPr>
  </w:style>
  <w:style w:type="table" w:customStyle="1" w:styleId="afffffff5">
    <w:basedOn w:val="TableNormal"/>
    <w:tblPr>
      <w:tblStyleRowBandSize w:val="1"/>
      <w:tblStyleColBandSize w:val="1"/>
      <w:tblCellMar>
        <w:top w:w="15" w:type="dxa"/>
        <w:left w:w="15" w:type="dxa"/>
        <w:bottom w:w="15" w:type="dxa"/>
        <w:right w:w="15" w:type="dxa"/>
      </w:tblCellMar>
    </w:tblPr>
  </w:style>
  <w:style w:type="table" w:customStyle="1" w:styleId="afffffff6">
    <w:basedOn w:val="TableNormal"/>
    <w:tblPr>
      <w:tblStyleRowBandSize w:val="1"/>
      <w:tblStyleColBandSize w:val="1"/>
      <w:tblCellMar>
        <w:top w:w="15" w:type="dxa"/>
        <w:left w:w="15" w:type="dxa"/>
        <w:bottom w:w="15" w:type="dxa"/>
        <w:right w:w="15" w:type="dxa"/>
      </w:tblCellMar>
    </w:tblPr>
  </w:style>
  <w:style w:type="table" w:customStyle="1" w:styleId="afffffff7">
    <w:basedOn w:val="TableNormal"/>
    <w:tblPr>
      <w:tblStyleRowBandSize w:val="1"/>
      <w:tblStyleColBandSize w:val="1"/>
      <w:tblCellMar>
        <w:top w:w="15" w:type="dxa"/>
        <w:left w:w="15" w:type="dxa"/>
        <w:bottom w:w="15" w:type="dxa"/>
        <w:right w:w="15" w:type="dxa"/>
      </w:tblCellMar>
    </w:tblPr>
  </w:style>
  <w:style w:type="table" w:customStyle="1" w:styleId="afffffff8">
    <w:basedOn w:val="TableNormal"/>
    <w:tblPr>
      <w:tblStyleRowBandSize w:val="1"/>
      <w:tblStyleColBandSize w:val="1"/>
      <w:tblCellMar>
        <w:top w:w="15" w:type="dxa"/>
        <w:left w:w="15" w:type="dxa"/>
        <w:bottom w:w="15" w:type="dxa"/>
        <w:right w:w="15" w:type="dxa"/>
      </w:tblCellMar>
    </w:tblPr>
  </w:style>
  <w:style w:type="table" w:customStyle="1" w:styleId="afffffff9">
    <w:basedOn w:val="TableNormal"/>
    <w:tblPr>
      <w:tblStyleRowBandSize w:val="1"/>
      <w:tblStyleColBandSize w:val="1"/>
      <w:tblCellMar>
        <w:top w:w="15" w:type="dxa"/>
        <w:left w:w="15" w:type="dxa"/>
        <w:bottom w:w="15" w:type="dxa"/>
        <w:right w:w="15" w:type="dxa"/>
      </w:tblCellMar>
    </w:tblPr>
  </w:style>
  <w:style w:type="table" w:customStyle="1" w:styleId="afffffffa">
    <w:basedOn w:val="TableNormal"/>
    <w:tblPr>
      <w:tblStyleRowBandSize w:val="1"/>
      <w:tblStyleColBandSize w:val="1"/>
      <w:tblCellMar>
        <w:top w:w="15" w:type="dxa"/>
        <w:left w:w="15" w:type="dxa"/>
        <w:bottom w:w="15" w:type="dxa"/>
        <w:right w:w="15" w:type="dxa"/>
      </w:tblCellMar>
    </w:tblPr>
  </w:style>
  <w:style w:type="table" w:customStyle="1" w:styleId="afffffffb">
    <w:basedOn w:val="TableNormal"/>
    <w:tblPr>
      <w:tblStyleRowBandSize w:val="1"/>
      <w:tblStyleColBandSize w:val="1"/>
      <w:tblCellMar>
        <w:top w:w="15" w:type="dxa"/>
        <w:left w:w="15" w:type="dxa"/>
        <w:bottom w:w="15" w:type="dxa"/>
        <w:right w:w="15" w:type="dxa"/>
      </w:tblCellMar>
    </w:tblPr>
  </w:style>
  <w:style w:type="table" w:customStyle="1" w:styleId="afffffffc">
    <w:basedOn w:val="TableNormal"/>
    <w:tblPr>
      <w:tblStyleRowBandSize w:val="1"/>
      <w:tblStyleColBandSize w:val="1"/>
      <w:tblCellMar>
        <w:top w:w="15" w:type="dxa"/>
        <w:left w:w="15" w:type="dxa"/>
        <w:bottom w:w="15" w:type="dxa"/>
        <w:right w:w="15" w:type="dxa"/>
      </w:tblCellMar>
    </w:tblPr>
  </w:style>
  <w:style w:type="table" w:customStyle="1" w:styleId="afffffffd">
    <w:basedOn w:val="TableNormal"/>
    <w:tblPr>
      <w:tblStyleRowBandSize w:val="1"/>
      <w:tblStyleColBandSize w:val="1"/>
      <w:tblCellMar>
        <w:top w:w="15" w:type="dxa"/>
        <w:left w:w="15" w:type="dxa"/>
        <w:bottom w:w="15" w:type="dxa"/>
        <w:right w:w="15" w:type="dxa"/>
      </w:tblCellMar>
    </w:tblPr>
  </w:style>
  <w:style w:type="table" w:customStyle="1" w:styleId="afffffffe">
    <w:basedOn w:val="TableNormal"/>
    <w:tblPr>
      <w:tblStyleRowBandSize w:val="1"/>
      <w:tblStyleColBandSize w:val="1"/>
      <w:tblCellMar>
        <w:top w:w="15" w:type="dxa"/>
        <w:left w:w="15" w:type="dxa"/>
        <w:bottom w:w="15" w:type="dxa"/>
        <w:right w:w="15" w:type="dxa"/>
      </w:tblCellMar>
    </w:tblPr>
  </w:style>
  <w:style w:type="table" w:customStyle="1" w:styleId="affffffff">
    <w:basedOn w:val="TableNormal"/>
    <w:tblPr>
      <w:tblStyleRowBandSize w:val="1"/>
      <w:tblStyleColBandSize w:val="1"/>
      <w:tblCellMar>
        <w:top w:w="15" w:type="dxa"/>
        <w:left w:w="15" w:type="dxa"/>
        <w:bottom w:w="15" w:type="dxa"/>
        <w:right w:w="15" w:type="dxa"/>
      </w:tblCellMar>
    </w:tblPr>
  </w:style>
  <w:style w:type="table" w:customStyle="1" w:styleId="affffffff0">
    <w:basedOn w:val="TableNormal"/>
    <w:tblPr>
      <w:tblStyleRowBandSize w:val="1"/>
      <w:tblStyleColBandSize w:val="1"/>
      <w:tblCellMar>
        <w:top w:w="15" w:type="dxa"/>
        <w:left w:w="15" w:type="dxa"/>
        <w:bottom w:w="15" w:type="dxa"/>
        <w:right w:w="15" w:type="dxa"/>
      </w:tblCellMar>
    </w:tblPr>
  </w:style>
  <w:style w:type="table" w:customStyle="1" w:styleId="affffffff1">
    <w:basedOn w:val="TableNormal"/>
    <w:tblPr>
      <w:tblStyleRowBandSize w:val="1"/>
      <w:tblStyleColBandSize w:val="1"/>
      <w:tblCellMar>
        <w:top w:w="15" w:type="dxa"/>
        <w:left w:w="15" w:type="dxa"/>
        <w:bottom w:w="15" w:type="dxa"/>
        <w:right w:w="15" w:type="dxa"/>
      </w:tblCellMar>
    </w:tblPr>
  </w:style>
  <w:style w:type="table" w:customStyle="1" w:styleId="affffffff2">
    <w:basedOn w:val="TableNormal"/>
    <w:tblPr>
      <w:tblStyleRowBandSize w:val="1"/>
      <w:tblStyleColBandSize w:val="1"/>
      <w:tblCellMar>
        <w:top w:w="15" w:type="dxa"/>
        <w:left w:w="15" w:type="dxa"/>
        <w:bottom w:w="15" w:type="dxa"/>
        <w:right w:w="15" w:type="dxa"/>
      </w:tblCellMar>
    </w:tblPr>
  </w:style>
  <w:style w:type="character" w:customStyle="1" w:styleId="UnresolvedMention2">
    <w:name w:val="Unresolved Mention2"/>
    <w:basedOn w:val="DefaultParagraphFont"/>
    <w:uiPriority w:val="99"/>
    <w:semiHidden/>
    <w:unhideWhenUsed/>
    <w:rsid w:val="00757F49"/>
    <w:rPr>
      <w:color w:val="605E5C"/>
      <w:shd w:val="clear" w:color="auto" w:fill="E1DFDD"/>
    </w:rPr>
  </w:style>
  <w:style w:type="paragraph" w:customStyle="1" w:styleId="section-title">
    <w:name w:val="section-title"/>
    <w:basedOn w:val="Normal"/>
    <w:link w:val="section-titleChar"/>
    <w:autoRedefine/>
    <w:qFormat/>
    <w:rsid w:val="00504733"/>
    <w:pPr>
      <w:keepNext/>
      <w:spacing w:before="200" w:after="200"/>
      <w:contextualSpacing/>
    </w:pPr>
    <w:rPr>
      <w:rFonts w:eastAsia="Arial" w:cs="Arial"/>
      <w:b/>
      <w:iCs/>
      <w:color w:val="000000"/>
      <w:sz w:val="22"/>
      <w:szCs w:val="20"/>
      <w:shd w:val="clear" w:color="auto" w:fill="FFFFFF"/>
    </w:rPr>
  </w:style>
  <w:style w:type="character" w:customStyle="1" w:styleId="section-titleChar">
    <w:name w:val="section-title Char"/>
    <w:basedOn w:val="DefaultParagraphFont"/>
    <w:link w:val="section-title"/>
    <w:rsid w:val="00504733"/>
    <w:rPr>
      <w:rFonts w:eastAsia="Arial" w:cs="Arial"/>
      <w:b/>
      <w:iCs/>
      <w:color w:val="000000"/>
      <w:sz w:val="22"/>
      <w:szCs w:val="20"/>
    </w:rPr>
  </w:style>
  <w:style w:type="character" w:customStyle="1" w:styleId="TitleChar">
    <w:name w:val="Title Char"/>
    <w:basedOn w:val="DefaultParagraphFont"/>
    <w:link w:val="Title"/>
    <w:rsid w:val="005D05A6"/>
    <w:rPr>
      <w:b/>
      <w:sz w:val="72"/>
      <w:szCs w:val="72"/>
      <w:lang w:eastAsia="en-GB"/>
    </w:rPr>
  </w:style>
  <w:style w:type="character" w:customStyle="1" w:styleId="UnresolvedMention20">
    <w:name w:val="Unresolved Mention2"/>
    <w:basedOn w:val="DefaultParagraphFont"/>
    <w:uiPriority w:val="99"/>
    <w:semiHidden/>
    <w:unhideWhenUsed/>
    <w:rsid w:val="005D05A6"/>
    <w:rPr>
      <w:color w:val="605E5C"/>
      <w:shd w:val="clear" w:color="auto" w:fill="E1DFDD"/>
    </w:rPr>
  </w:style>
  <w:style w:type="character" w:customStyle="1" w:styleId="SubtitleChar">
    <w:name w:val="Subtitle Char"/>
    <w:basedOn w:val="DefaultParagraphFont"/>
    <w:link w:val="Subtitle"/>
    <w:rsid w:val="005D05A6"/>
    <w:rPr>
      <w:rFonts w:ascii="Arial" w:eastAsia="Georgia" w:hAnsi="Arial" w:cs="Georgia"/>
      <w:b/>
      <w:sz w:val="22"/>
      <w:szCs w:val="48"/>
      <w:lang w:eastAsia="en-GB"/>
    </w:rPr>
  </w:style>
  <w:style w:type="paragraph" w:styleId="FootnoteText">
    <w:name w:val="footnote text"/>
    <w:basedOn w:val="Normal"/>
    <w:link w:val="FootnoteTextChar"/>
    <w:uiPriority w:val="99"/>
    <w:semiHidden/>
    <w:unhideWhenUsed/>
    <w:rsid w:val="00F145EE"/>
    <w:rPr>
      <w:rFonts w:ascii="Calibri" w:hAnsi="Calibri"/>
      <w:szCs w:val="20"/>
      <w:lang w:eastAsia="en-GB"/>
    </w:rPr>
  </w:style>
  <w:style w:type="character" w:customStyle="1" w:styleId="FootnoteTextChar">
    <w:name w:val="Footnote Text Char"/>
    <w:basedOn w:val="DefaultParagraphFont"/>
    <w:link w:val="FootnoteText"/>
    <w:uiPriority w:val="99"/>
    <w:semiHidden/>
    <w:rsid w:val="00F145EE"/>
    <w:rPr>
      <w:rFonts w:ascii="Calibri" w:hAnsi="Calibri"/>
      <w:sz w:val="20"/>
      <w:szCs w:val="20"/>
      <w:lang w:eastAsia="en-GB"/>
    </w:rPr>
  </w:style>
  <w:style w:type="paragraph" w:customStyle="1" w:styleId="ep-wysiwigparagraph">
    <w:name w:val="ep-wysiwig_paragraph"/>
    <w:basedOn w:val="Normal"/>
    <w:rsid w:val="00F145EE"/>
    <w:pPr>
      <w:spacing w:before="100" w:beforeAutospacing="1" w:after="100" w:afterAutospacing="1"/>
    </w:pPr>
    <w:rPr>
      <w:rFonts w:ascii="Times New Roman" w:eastAsia="Times New Roman" w:hAnsi="Times New Roman" w:cs="Times New Roman"/>
      <w:sz w:val="24"/>
      <w:lang w:eastAsia="en-GB"/>
    </w:rPr>
  </w:style>
  <w:style w:type="character" w:styleId="Strong">
    <w:name w:val="Strong"/>
    <w:basedOn w:val="DefaultParagraphFont"/>
    <w:uiPriority w:val="22"/>
    <w:qFormat/>
    <w:rsid w:val="00F145EE"/>
    <w:rPr>
      <w:b/>
      <w:bCs/>
    </w:rPr>
  </w:style>
  <w:style w:type="character" w:styleId="UnresolvedMention">
    <w:name w:val="Unresolved Mention"/>
    <w:basedOn w:val="DefaultParagraphFont"/>
    <w:uiPriority w:val="99"/>
    <w:semiHidden/>
    <w:unhideWhenUsed/>
    <w:rsid w:val="00324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28">
      <w:bodyDiv w:val="1"/>
      <w:marLeft w:val="0"/>
      <w:marRight w:val="0"/>
      <w:marTop w:val="0"/>
      <w:marBottom w:val="0"/>
      <w:divBdr>
        <w:top w:val="none" w:sz="0" w:space="0" w:color="auto"/>
        <w:left w:val="none" w:sz="0" w:space="0" w:color="auto"/>
        <w:bottom w:val="none" w:sz="0" w:space="0" w:color="auto"/>
        <w:right w:val="none" w:sz="0" w:space="0" w:color="auto"/>
      </w:divBdr>
    </w:div>
    <w:div w:id="85732432">
      <w:bodyDiv w:val="1"/>
      <w:marLeft w:val="0"/>
      <w:marRight w:val="0"/>
      <w:marTop w:val="0"/>
      <w:marBottom w:val="0"/>
      <w:divBdr>
        <w:top w:val="none" w:sz="0" w:space="0" w:color="auto"/>
        <w:left w:val="none" w:sz="0" w:space="0" w:color="auto"/>
        <w:bottom w:val="none" w:sz="0" w:space="0" w:color="auto"/>
        <w:right w:val="none" w:sz="0" w:space="0" w:color="auto"/>
      </w:divBdr>
    </w:div>
    <w:div w:id="100152767">
      <w:bodyDiv w:val="1"/>
      <w:marLeft w:val="0"/>
      <w:marRight w:val="0"/>
      <w:marTop w:val="0"/>
      <w:marBottom w:val="0"/>
      <w:divBdr>
        <w:top w:val="none" w:sz="0" w:space="0" w:color="auto"/>
        <w:left w:val="none" w:sz="0" w:space="0" w:color="auto"/>
        <w:bottom w:val="none" w:sz="0" w:space="0" w:color="auto"/>
        <w:right w:val="none" w:sz="0" w:space="0" w:color="auto"/>
      </w:divBdr>
    </w:div>
    <w:div w:id="107698573">
      <w:bodyDiv w:val="1"/>
      <w:marLeft w:val="0"/>
      <w:marRight w:val="0"/>
      <w:marTop w:val="0"/>
      <w:marBottom w:val="0"/>
      <w:divBdr>
        <w:top w:val="none" w:sz="0" w:space="0" w:color="auto"/>
        <w:left w:val="none" w:sz="0" w:space="0" w:color="auto"/>
        <w:bottom w:val="none" w:sz="0" w:space="0" w:color="auto"/>
        <w:right w:val="none" w:sz="0" w:space="0" w:color="auto"/>
      </w:divBdr>
    </w:div>
    <w:div w:id="131561768">
      <w:bodyDiv w:val="1"/>
      <w:marLeft w:val="0"/>
      <w:marRight w:val="0"/>
      <w:marTop w:val="0"/>
      <w:marBottom w:val="0"/>
      <w:divBdr>
        <w:top w:val="none" w:sz="0" w:space="0" w:color="auto"/>
        <w:left w:val="none" w:sz="0" w:space="0" w:color="auto"/>
        <w:bottom w:val="none" w:sz="0" w:space="0" w:color="auto"/>
        <w:right w:val="none" w:sz="0" w:space="0" w:color="auto"/>
      </w:divBdr>
    </w:div>
    <w:div w:id="145514607">
      <w:bodyDiv w:val="1"/>
      <w:marLeft w:val="0"/>
      <w:marRight w:val="0"/>
      <w:marTop w:val="0"/>
      <w:marBottom w:val="0"/>
      <w:divBdr>
        <w:top w:val="none" w:sz="0" w:space="0" w:color="auto"/>
        <w:left w:val="none" w:sz="0" w:space="0" w:color="auto"/>
        <w:bottom w:val="none" w:sz="0" w:space="0" w:color="auto"/>
        <w:right w:val="none" w:sz="0" w:space="0" w:color="auto"/>
      </w:divBdr>
    </w:div>
    <w:div w:id="183519986">
      <w:bodyDiv w:val="1"/>
      <w:marLeft w:val="0"/>
      <w:marRight w:val="0"/>
      <w:marTop w:val="0"/>
      <w:marBottom w:val="0"/>
      <w:divBdr>
        <w:top w:val="none" w:sz="0" w:space="0" w:color="auto"/>
        <w:left w:val="none" w:sz="0" w:space="0" w:color="auto"/>
        <w:bottom w:val="none" w:sz="0" w:space="0" w:color="auto"/>
        <w:right w:val="none" w:sz="0" w:space="0" w:color="auto"/>
      </w:divBdr>
    </w:div>
    <w:div w:id="190463311">
      <w:bodyDiv w:val="1"/>
      <w:marLeft w:val="0"/>
      <w:marRight w:val="0"/>
      <w:marTop w:val="0"/>
      <w:marBottom w:val="0"/>
      <w:divBdr>
        <w:top w:val="none" w:sz="0" w:space="0" w:color="auto"/>
        <w:left w:val="none" w:sz="0" w:space="0" w:color="auto"/>
        <w:bottom w:val="none" w:sz="0" w:space="0" w:color="auto"/>
        <w:right w:val="none" w:sz="0" w:space="0" w:color="auto"/>
      </w:divBdr>
    </w:div>
    <w:div w:id="233592908">
      <w:bodyDiv w:val="1"/>
      <w:marLeft w:val="0"/>
      <w:marRight w:val="0"/>
      <w:marTop w:val="0"/>
      <w:marBottom w:val="0"/>
      <w:divBdr>
        <w:top w:val="none" w:sz="0" w:space="0" w:color="auto"/>
        <w:left w:val="none" w:sz="0" w:space="0" w:color="auto"/>
        <w:bottom w:val="none" w:sz="0" w:space="0" w:color="auto"/>
        <w:right w:val="none" w:sz="0" w:space="0" w:color="auto"/>
      </w:divBdr>
    </w:div>
    <w:div w:id="242687943">
      <w:bodyDiv w:val="1"/>
      <w:marLeft w:val="0"/>
      <w:marRight w:val="0"/>
      <w:marTop w:val="0"/>
      <w:marBottom w:val="0"/>
      <w:divBdr>
        <w:top w:val="none" w:sz="0" w:space="0" w:color="auto"/>
        <w:left w:val="none" w:sz="0" w:space="0" w:color="auto"/>
        <w:bottom w:val="none" w:sz="0" w:space="0" w:color="auto"/>
        <w:right w:val="none" w:sz="0" w:space="0" w:color="auto"/>
      </w:divBdr>
    </w:div>
    <w:div w:id="245381654">
      <w:bodyDiv w:val="1"/>
      <w:marLeft w:val="0"/>
      <w:marRight w:val="0"/>
      <w:marTop w:val="0"/>
      <w:marBottom w:val="0"/>
      <w:divBdr>
        <w:top w:val="none" w:sz="0" w:space="0" w:color="auto"/>
        <w:left w:val="none" w:sz="0" w:space="0" w:color="auto"/>
        <w:bottom w:val="none" w:sz="0" w:space="0" w:color="auto"/>
        <w:right w:val="none" w:sz="0" w:space="0" w:color="auto"/>
      </w:divBdr>
    </w:div>
    <w:div w:id="287398021">
      <w:bodyDiv w:val="1"/>
      <w:marLeft w:val="0"/>
      <w:marRight w:val="0"/>
      <w:marTop w:val="0"/>
      <w:marBottom w:val="0"/>
      <w:divBdr>
        <w:top w:val="none" w:sz="0" w:space="0" w:color="auto"/>
        <w:left w:val="none" w:sz="0" w:space="0" w:color="auto"/>
        <w:bottom w:val="none" w:sz="0" w:space="0" w:color="auto"/>
        <w:right w:val="none" w:sz="0" w:space="0" w:color="auto"/>
      </w:divBdr>
    </w:div>
    <w:div w:id="331180368">
      <w:bodyDiv w:val="1"/>
      <w:marLeft w:val="0"/>
      <w:marRight w:val="0"/>
      <w:marTop w:val="0"/>
      <w:marBottom w:val="0"/>
      <w:divBdr>
        <w:top w:val="none" w:sz="0" w:space="0" w:color="auto"/>
        <w:left w:val="none" w:sz="0" w:space="0" w:color="auto"/>
        <w:bottom w:val="none" w:sz="0" w:space="0" w:color="auto"/>
        <w:right w:val="none" w:sz="0" w:space="0" w:color="auto"/>
      </w:divBdr>
    </w:div>
    <w:div w:id="396826727">
      <w:bodyDiv w:val="1"/>
      <w:marLeft w:val="0"/>
      <w:marRight w:val="0"/>
      <w:marTop w:val="0"/>
      <w:marBottom w:val="0"/>
      <w:divBdr>
        <w:top w:val="none" w:sz="0" w:space="0" w:color="auto"/>
        <w:left w:val="none" w:sz="0" w:space="0" w:color="auto"/>
        <w:bottom w:val="none" w:sz="0" w:space="0" w:color="auto"/>
        <w:right w:val="none" w:sz="0" w:space="0" w:color="auto"/>
      </w:divBdr>
    </w:div>
    <w:div w:id="426385739">
      <w:bodyDiv w:val="1"/>
      <w:marLeft w:val="0"/>
      <w:marRight w:val="0"/>
      <w:marTop w:val="0"/>
      <w:marBottom w:val="0"/>
      <w:divBdr>
        <w:top w:val="none" w:sz="0" w:space="0" w:color="auto"/>
        <w:left w:val="none" w:sz="0" w:space="0" w:color="auto"/>
        <w:bottom w:val="none" w:sz="0" w:space="0" w:color="auto"/>
        <w:right w:val="none" w:sz="0" w:space="0" w:color="auto"/>
      </w:divBdr>
    </w:div>
    <w:div w:id="451293471">
      <w:bodyDiv w:val="1"/>
      <w:marLeft w:val="0"/>
      <w:marRight w:val="0"/>
      <w:marTop w:val="0"/>
      <w:marBottom w:val="0"/>
      <w:divBdr>
        <w:top w:val="none" w:sz="0" w:space="0" w:color="auto"/>
        <w:left w:val="none" w:sz="0" w:space="0" w:color="auto"/>
        <w:bottom w:val="none" w:sz="0" w:space="0" w:color="auto"/>
        <w:right w:val="none" w:sz="0" w:space="0" w:color="auto"/>
      </w:divBdr>
    </w:div>
    <w:div w:id="489255378">
      <w:bodyDiv w:val="1"/>
      <w:marLeft w:val="0"/>
      <w:marRight w:val="0"/>
      <w:marTop w:val="0"/>
      <w:marBottom w:val="0"/>
      <w:divBdr>
        <w:top w:val="none" w:sz="0" w:space="0" w:color="auto"/>
        <w:left w:val="none" w:sz="0" w:space="0" w:color="auto"/>
        <w:bottom w:val="none" w:sz="0" w:space="0" w:color="auto"/>
        <w:right w:val="none" w:sz="0" w:space="0" w:color="auto"/>
      </w:divBdr>
    </w:div>
    <w:div w:id="515585256">
      <w:bodyDiv w:val="1"/>
      <w:marLeft w:val="0"/>
      <w:marRight w:val="0"/>
      <w:marTop w:val="0"/>
      <w:marBottom w:val="0"/>
      <w:divBdr>
        <w:top w:val="none" w:sz="0" w:space="0" w:color="auto"/>
        <w:left w:val="none" w:sz="0" w:space="0" w:color="auto"/>
        <w:bottom w:val="none" w:sz="0" w:space="0" w:color="auto"/>
        <w:right w:val="none" w:sz="0" w:space="0" w:color="auto"/>
      </w:divBdr>
    </w:div>
    <w:div w:id="532229078">
      <w:bodyDiv w:val="1"/>
      <w:marLeft w:val="0"/>
      <w:marRight w:val="0"/>
      <w:marTop w:val="0"/>
      <w:marBottom w:val="0"/>
      <w:divBdr>
        <w:top w:val="none" w:sz="0" w:space="0" w:color="auto"/>
        <w:left w:val="none" w:sz="0" w:space="0" w:color="auto"/>
        <w:bottom w:val="none" w:sz="0" w:space="0" w:color="auto"/>
        <w:right w:val="none" w:sz="0" w:space="0" w:color="auto"/>
      </w:divBdr>
    </w:div>
    <w:div w:id="590310122">
      <w:bodyDiv w:val="1"/>
      <w:marLeft w:val="0"/>
      <w:marRight w:val="0"/>
      <w:marTop w:val="0"/>
      <w:marBottom w:val="0"/>
      <w:divBdr>
        <w:top w:val="none" w:sz="0" w:space="0" w:color="auto"/>
        <w:left w:val="none" w:sz="0" w:space="0" w:color="auto"/>
        <w:bottom w:val="none" w:sz="0" w:space="0" w:color="auto"/>
        <w:right w:val="none" w:sz="0" w:space="0" w:color="auto"/>
      </w:divBdr>
    </w:div>
    <w:div w:id="615600510">
      <w:bodyDiv w:val="1"/>
      <w:marLeft w:val="0"/>
      <w:marRight w:val="0"/>
      <w:marTop w:val="0"/>
      <w:marBottom w:val="0"/>
      <w:divBdr>
        <w:top w:val="none" w:sz="0" w:space="0" w:color="auto"/>
        <w:left w:val="none" w:sz="0" w:space="0" w:color="auto"/>
        <w:bottom w:val="none" w:sz="0" w:space="0" w:color="auto"/>
        <w:right w:val="none" w:sz="0" w:space="0" w:color="auto"/>
      </w:divBdr>
    </w:div>
    <w:div w:id="691151196">
      <w:bodyDiv w:val="1"/>
      <w:marLeft w:val="0"/>
      <w:marRight w:val="0"/>
      <w:marTop w:val="0"/>
      <w:marBottom w:val="0"/>
      <w:divBdr>
        <w:top w:val="none" w:sz="0" w:space="0" w:color="auto"/>
        <w:left w:val="none" w:sz="0" w:space="0" w:color="auto"/>
        <w:bottom w:val="none" w:sz="0" w:space="0" w:color="auto"/>
        <w:right w:val="none" w:sz="0" w:space="0" w:color="auto"/>
      </w:divBdr>
    </w:div>
    <w:div w:id="721832433">
      <w:bodyDiv w:val="1"/>
      <w:marLeft w:val="0"/>
      <w:marRight w:val="0"/>
      <w:marTop w:val="0"/>
      <w:marBottom w:val="0"/>
      <w:divBdr>
        <w:top w:val="none" w:sz="0" w:space="0" w:color="auto"/>
        <w:left w:val="none" w:sz="0" w:space="0" w:color="auto"/>
        <w:bottom w:val="none" w:sz="0" w:space="0" w:color="auto"/>
        <w:right w:val="none" w:sz="0" w:space="0" w:color="auto"/>
      </w:divBdr>
    </w:div>
    <w:div w:id="847721122">
      <w:bodyDiv w:val="1"/>
      <w:marLeft w:val="0"/>
      <w:marRight w:val="0"/>
      <w:marTop w:val="0"/>
      <w:marBottom w:val="0"/>
      <w:divBdr>
        <w:top w:val="none" w:sz="0" w:space="0" w:color="auto"/>
        <w:left w:val="none" w:sz="0" w:space="0" w:color="auto"/>
        <w:bottom w:val="none" w:sz="0" w:space="0" w:color="auto"/>
        <w:right w:val="none" w:sz="0" w:space="0" w:color="auto"/>
      </w:divBdr>
    </w:div>
    <w:div w:id="1032389629">
      <w:bodyDiv w:val="1"/>
      <w:marLeft w:val="0"/>
      <w:marRight w:val="0"/>
      <w:marTop w:val="0"/>
      <w:marBottom w:val="0"/>
      <w:divBdr>
        <w:top w:val="none" w:sz="0" w:space="0" w:color="auto"/>
        <w:left w:val="none" w:sz="0" w:space="0" w:color="auto"/>
        <w:bottom w:val="none" w:sz="0" w:space="0" w:color="auto"/>
        <w:right w:val="none" w:sz="0" w:space="0" w:color="auto"/>
      </w:divBdr>
    </w:div>
    <w:div w:id="1034505729">
      <w:bodyDiv w:val="1"/>
      <w:marLeft w:val="0"/>
      <w:marRight w:val="0"/>
      <w:marTop w:val="0"/>
      <w:marBottom w:val="0"/>
      <w:divBdr>
        <w:top w:val="none" w:sz="0" w:space="0" w:color="auto"/>
        <w:left w:val="none" w:sz="0" w:space="0" w:color="auto"/>
        <w:bottom w:val="none" w:sz="0" w:space="0" w:color="auto"/>
        <w:right w:val="none" w:sz="0" w:space="0" w:color="auto"/>
      </w:divBdr>
    </w:div>
    <w:div w:id="1034772123">
      <w:bodyDiv w:val="1"/>
      <w:marLeft w:val="0"/>
      <w:marRight w:val="0"/>
      <w:marTop w:val="0"/>
      <w:marBottom w:val="0"/>
      <w:divBdr>
        <w:top w:val="none" w:sz="0" w:space="0" w:color="auto"/>
        <w:left w:val="none" w:sz="0" w:space="0" w:color="auto"/>
        <w:bottom w:val="none" w:sz="0" w:space="0" w:color="auto"/>
        <w:right w:val="none" w:sz="0" w:space="0" w:color="auto"/>
      </w:divBdr>
    </w:div>
    <w:div w:id="1043599082">
      <w:bodyDiv w:val="1"/>
      <w:marLeft w:val="0"/>
      <w:marRight w:val="0"/>
      <w:marTop w:val="0"/>
      <w:marBottom w:val="0"/>
      <w:divBdr>
        <w:top w:val="none" w:sz="0" w:space="0" w:color="auto"/>
        <w:left w:val="none" w:sz="0" w:space="0" w:color="auto"/>
        <w:bottom w:val="none" w:sz="0" w:space="0" w:color="auto"/>
        <w:right w:val="none" w:sz="0" w:space="0" w:color="auto"/>
      </w:divBdr>
    </w:div>
    <w:div w:id="1081564244">
      <w:bodyDiv w:val="1"/>
      <w:marLeft w:val="0"/>
      <w:marRight w:val="0"/>
      <w:marTop w:val="0"/>
      <w:marBottom w:val="0"/>
      <w:divBdr>
        <w:top w:val="none" w:sz="0" w:space="0" w:color="auto"/>
        <w:left w:val="none" w:sz="0" w:space="0" w:color="auto"/>
        <w:bottom w:val="none" w:sz="0" w:space="0" w:color="auto"/>
        <w:right w:val="none" w:sz="0" w:space="0" w:color="auto"/>
      </w:divBdr>
    </w:div>
    <w:div w:id="1082609527">
      <w:bodyDiv w:val="1"/>
      <w:marLeft w:val="0"/>
      <w:marRight w:val="0"/>
      <w:marTop w:val="0"/>
      <w:marBottom w:val="0"/>
      <w:divBdr>
        <w:top w:val="none" w:sz="0" w:space="0" w:color="auto"/>
        <w:left w:val="none" w:sz="0" w:space="0" w:color="auto"/>
        <w:bottom w:val="none" w:sz="0" w:space="0" w:color="auto"/>
        <w:right w:val="none" w:sz="0" w:space="0" w:color="auto"/>
      </w:divBdr>
    </w:div>
    <w:div w:id="1133984563">
      <w:bodyDiv w:val="1"/>
      <w:marLeft w:val="0"/>
      <w:marRight w:val="0"/>
      <w:marTop w:val="0"/>
      <w:marBottom w:val="0"/>
      <w:divBdr>
        <w:top w:val="none" w:sz="0" w:space="0" w:color="auto"/>
        <w:left w:val="none" w:sz="0" w:space="0" w:color="auto"/>
        <w:bottom w:val="none" w:sz="0" w:space="0" w:color="auto"/>
        <w:right w:val="none" w:sz="0" w:space="0" w:color="auto"/>
      </w:divBdr>
    </w:div>
    <w:div w:id="1146120065">
      <w:bodyDiv w:val="1"/>
      <w:marLeft w:val="0"/>
      <w:marRight w:val="0"/>
      <w:marTop w:val="0"/>
      <w:marBottom w:val="0"/>
      <w:divBdr>
        <w:top w:val="none" w:sz="0" w:space="0" w:color="auto"/>
        <w:left w:val="none" w:sz="0" w:space="0" w:color="auto"/>
        <w:bottom w:val="none" w:sz="0" w:space="0" w:color="auto"/>
        <w:right w:val="none" w:sz="0" w:space="0" w:color="auto"/>
      </w:divBdr>
    </w:div>
    <w:div w:id="1150292961">
      <w:bodyDiv w:val="1"/>
      <w:marLeft w:val="0"/>
      <w:marRight w:val="0"/>
      <w:marTop w:val="0"/>
      <w:marBottom w:val="0"/>
      <w:divBdr>
        <w:top w:val="none" w:sz="0" w:space="0" w:color="auto"/>
        <w:left w:val="none" w:sz="0" w:space="0" w:color="auto"/>
        <w:bottom w:val="none" w:sz="0" w:space="0" w:color="auto"/>
        <w:right w:val="none" w:sz="0" w:space="0" w:color="auto"/>
      </w:divBdr>
    </w:div>
    <w:div w:id="1206521624">
      <w:bodyDiv w:val="1"/>
      <w:marLeft w:val="0"/>
      <w:marRight w:val="0"/>
      <w:marTop w:val="0"/>
      <w:marBottom w:val="0"/>
      <w:divBdr>
        <w:top w:val="none" w:sz="0" w:space="0" w:color="auto"/>
        <w:left w:val="none" w:sz="0" w:space="0" w:color="auto"/>
        <w:bottom w:val="none" w:sz="0" w:space="0" w:color="auto"/>
        <w:right w:val="none" w:sz="0" w:space="0" w:color="auto"/>
      </w:divBdr>
    </w:div>
    <w:div w:id="1234780114">
      <w:bodyDiv w:val="1"/>
      <w:marLeft w:val="0"/>
      <w:marRight w:val="0"/>
      <w:marTop w:val="0"/>
      <w:marBottom w:val="0"/>
      <w:divBdr>
        <w:top w:val="none" w:sz="0" w:space="0" w:color="auto"/>
        <w:left w:val="none" w:sz="0" w:space="0" w:color="auto"/>
        <w:bottom w:val="none" w:sz="0" w:space="0" w:color="auto"/>
        <w:right w:val="none" w:sz="0" w:space="0" w:color="auto"/>
      </w:divBdr>
    </w:div>
    <w:div w:id="1294560532">
      <w:bodyDiv w:val="1"/>
      <w:marLeft w:val="0"/>
      <w:marRight w:val="0"/>
      <w:marTop w:val="0"/>
      <w:marBottom w:val="0"/>
      <w:divBdr>
        <w:top w:val="none" w:sz="0" w:space="0" w:color="auto"/>
        <w:left w:val="none" w:sz="0" w:space="0" w:color="auto"/>
        <w:bottom w:val="none" w:sz="0" w:space="0" w:color="auto"/>
        <w:right w:val="none" w:sz="0" w:space="0" w:color="auto"/>
      </w:divBdr>
    </w:div>
    <w:div w:id="1426147005">
      <w:bodyDiv w:val="1"/>
      <w:marLeft w:val="0"/>
      <w:marRight w:val="0"/>
      <w:marTop w:val="0"/>
      <w:marBottom w:val="0"/>
      <w:divBdr>
        <w:top w:val="none" w:sz="0" w:space="0" w:color="auto"/>
        <w:left w:val="none" w:sz="0" w:space="0" w:color="auto"/>
        <w:bottom w:val="none" w:sz="0" w:space="0" w:color="auto"/>
        <w:right w:val="none" w:sz="0" w:space="0" w:color="auto"/>
      </w:divBdr>
    </w:div>
    <w:div w:id="1431386879">
      <w:bodyDiv w:val="1"/>
      <w:marLeft w:val="0"/>
      <w:marRight w:val="0"/>
      <w:marTop w:val="0"/>
      <w:marBottom w:val="0"/>
      <w:divBdr>
        <w:top w:val="none" w:sz="0" w:space="0" w:color="auto"/>
        <w:left w:val="none" w:sz="0" w:space="0" w:color="auto"/>
        <w:bottom w:val="none" w:sz="0" w:space="0" w:color="auto"/>
        <w:right w:val="none" w:sz="0" w:space="0" w:color="auto"/>
      </w:divBdr>
    </w:div>
    <w:div w:id="1439524952">
      <w:bodyDiv w:val="1"/>
      <w:marLeft w:val="0"/>
      <w:marRight w:val="0"/>
      <w:marTop w:val="0"/>
      <w:marBottom w:val="0"/>
      <w:divBdr>
        <w:top w:val="none" w:sz="0" w:space="0" w:color="auto"/>
        <w:left w:val="none" w:sz="0" w:space="0" w:color="auto"/>
        <w:bottom w:val="none" w:sz="0" w:space="0" w:color="auto"/>
        <w:right w:val="none" w:sz="0" w:space="0" w:color="auto"/>
      </w:divBdr>
    </w:div>
    <w:div w:id="1469594475">
      <w:bodyDiv w:val="1"/>
      <w:marLeft w:val="0"/>
      <w:marRight w:val="0"/>
      <w:marTop w:val="0"/>
      <w:marBottom w:val="0"/>
      <w:divBdr>
        <w:top w:val="none" w:sz="0" w:space="0" w:color="auto"/>
        <w:left w:val="none" w:sz="0" w:space="0" w:color="auto"/>
        <w:bottom w:val="none" w:sz="0" w:space="0" w:color="auto"/>
        <w:right w:val="none" w:sz="0" w:space="0" w:color="auto"/>
      </w:divBdr>
    </w:div>
    <w:div w:id="1520705699">
      <w:bodyDiv w:val="1"/>
      <w:marLeft w:val="0"/>
      <w:marRight w:val="0"/>
      <w:marTop w:val="0"/>
      <w:marBottom w:val="0"/>
      <w:divBdr>
        <w:top w:val="none" w:sz="0" w:space="0" w:color="auto"/>
        <w:left w:val="none" w:sz="0" w:space="0" w:color="auto"/>
        <w:bottom w:val="none" w:sz="0" w:space="0" w:color="auto"/>
        <w:right w:val="none" w:sz="0" w:space="0" w:color="auto"/>
      </w:divBdr>
    </w:div>
    <w:div w:id="1540434800">
      <w:bodyDiv w:val="1"/>
      <w:marLeft w:val="0"/>
      <w:marRight w:val="0"/>
      <w:marTop w:val="0"/>
      <w:marBottom w:val="0"/>
      <w:divBdr>
        <w:top w:val="none" w:sz="0" w:space="0" w:color="auto"/>
        <w:left w:val="none" w:sz="0" w:space="0" w:color="auto"/>
        <w:bottom w:val="none" w:sz="0" w:space="0" w:color="auto"/>
        <w:right w:val="none" w:sz="0" w:space="0" w:color="auto"/>
      </w:divBdr>
    </w:div>
    <w:div w:id="1542479441">
      <w:bodyDiv w:val="1"/>
      <w:marLeft w:val="0"/>
      <w:marRight w:val="0"/>
      <w:marTop w:val="0"/>
      <w:marBottom w:val="0"/>
      <w:divBdr>
        <w:top w:val="none" w:sz="0" w:space="0" w:color="auto"/>
        <w:left w:val="none" w:sz="0" w:space="0" w:color="auto"/>
        <w:bottom w:val="none" w:sz="0" w:space="0" w:color="auto"/>
        <w:right w:val="none" w:sz="0" w:space="0" w:color="auto"/>
      </w:divBdr>
    </w:div>
    <w:div w:id="1653024543">
      <w:bodyDiv w:val="1"/>
      <w:marLeft w:val="0"/>
      <w:marRight w:val="0"/>
      <w:marTop w:val="0"/>
      <w:marBottom w:val="0"/>
      <w:divBdr>
        <w:top w:val="none" w:sz="0" w:space="0" w:color="auto"/>
        <w:left w:val="none" w:sz="0" w:space="0" w:color="auto"/>
        <w:bottom w:val="none" w:sz="0" w:space="0" w:color="auto"/>
        <w:right w:val="none" w:sz="0" w:space="0" w:color="auto"/>
      </w:divBdr>
    </w:div>
    <w:div w:id="1690790798">
      <w:bodyDiv w:val="1"/>
      <w:marLeft w:val="0"/>
      <w:marRight w:val="0"/>
      <w:marTop w:val="0"/>
      <w:marBottom w:val="0"/>
      <w:divBdr>
        <w:top w:val="none" w:sz="0" w:space="0" w:color="auto"/>
        <w:left w:val="none" w:sz="0" w:space="0" w:color="auto"/>
        <w:bottom w:val="none" w:sz="0" w:space="0" w:color="auto"/>
        <w:right w:val="none" w:sz="0" w:space="0" w:color="auto"/>
      </w:divBdr>
    </w:div>
    <w:div w:id="1703751688">
      <w:bodyDiv w:val="1"/>
      <w:marLeft w:val="0"/>
      <w:marRight w:val="0"/>
      <w:marTop w:val="0"/>
      <w:marBottom w:val="0"/>
      <w:divBdr>
        <w:top w:val="none" w:sz="0" w:space="0" w:color="auto"/>
        <w:left w:val="none" w:sz="0" w:space="0" w:color="auto"/>
        <w:bottom w:val="none" w:sz="0" w:space="0" w:color="auto"/>
        <w:right w:val="none" w:sz="0" w:space="0" w:color="auto"/>
      </w:divBdr>
    </w:div>
    <w:div w:id="1708988988">
      <w:bodyDiv w:val="1"/>
      <w:marLeft w:val="0"/>
      <w:marRight w:val="0"/>
      <w:marTop w:val="0"/>
      <w:marBottom w:val="0"/>
      <w:divBdr>
        <w:top w:val="none" w:sz="0" w:space="0" w:color="auto"/>
        <w:left w:val="none" w:sz="0" w:space="0" w:color="auto"/>
        <w:bottom w:val="none" w:sz="0" w:space="0" w:color="auto"/>
        <w:right w:val="none" w:sz="0" w:space="0" w:color="auto"/>
      </w:divBdr>
    </w:div>
    <w:div w:id="1709527755">
      <w:bodyDiv w:val="1"/>
      <w:marLeft w:val="0"/>
      <w:marRight w:val="0"/>
      <w:marTop w:val="0"/>
      <w:marBottom w:val="0"/>
      <w:divBdr>
        <w:top w:val="none" w:sz="0" w:space="0" w:color="auto"/>
        <w:left w:val="none" w:sz="0" w:space="0" w:color="auto"/>
        <w:bottom w:val="none" w:sz="0" w:space="0" w:color="auto"/>
        <w:right w:val="none" w:sz="0" w:space="0" w:color="auto"/>
      </w:divBdr>
    </w:div>
    <w:div w:id="1716585042">
      <w:bodyDiv w:val="1"/>
      <w:marLeft w:val="0"/>
      <w:marRight w:val="0"/>
      <w:marTop w:val="0"/>
      <w:marBottom w:val="0"/>
      <w:divBdr>
        <w:top w:val="none" w:sz="0" w:space="0" w:color="auto"/>
        <w:left w:val="none" w:sz="0" w:space="0" w:color="auto"/>
        <w:bottom w:val="none" w:sz="0" w:space="0" w:color="auto"/>
        <w:right w:val="none" w:sz="0" w:space="0" w:color="auto"/>
      </w:divBdr>
    </w:div>
    <w:div w:id="1748571710">
      <w:bodyDiv w:val="1"/>
      <w:marLeft w:val="0"/>
      <w:marRight w:val="0"/>
      <w:marTop w:val="0"/>
      <w:marBottom w:val="0"/>
      <w:divBdr>
        <w:top w:val="none" w:sz="0" w:space="0" w:color="auto"/>
        <w:left w:val="none" w:sz="0" w:space="0" w:color="auto"/>
        <w:bottom w:val="none" w:sz="0" w:space="0" w:color="auto"/>
        <w:right w:val="none" w:sz="0" w:space="0" w:color="auto"/>
      </w:divBdr>
    </w:div>
    <w:div w:id="1770077966">
      <w:bodyDiv w:val="1"/>
      <w:marLeft w:val="0"/>
      <w:marRight w:val="0"/>
      <w:marTop w:val="0"/>
      <w:marBottom w:val="0"/>
      <w:divBdr>
        <w:top w:val="none" w:sz="0" w:space="0" w:color="auto"/>
        <w:left w:val="none" w:sz="0" w:space="0" w:color="auto"/>
        <w:bottom w:val="none" w:sz="0" w:space="0" w:color="auto"/>
        <w:right w:val="none" w:sz="0" w:space="0" w:color="auto"/>
      </w:divBdr>
    </w:div>
    <w:div w:id="1775855701">
      <w:bodyDiv w:val="1"/>
      <w:marLeft w:val="0"/>
      <w:marRight w:val="0"/>
      <w:marTop w:val="0"/>
      <w:marBottom w:val="0"/>
      <w:divBdr>
        <w:top w:val="none" w:sz="0" w:space="0" w:color="auto"/>
        <w:left w:val="none" w:sz="0" w:space="0" w:color="auto"/>
        <w:bottom w:val="none" w:sz="0" w:space="0" w:color="auto"/>
        <w:right w:val="none" w:sz="0" w:space="0" w:color="auto"/>
      </w:divBdr>
    </w:div>
    <w:div w:id="1781874398">
      <w:bodyDiv w:val="1"/>
      <w:marLeft w:val="0"/>
      <w:marRight w:val="0"/>
      <w:marTop w:val="0"/>
      <w:marBottom w:val="0"/>
      <w:divBdr>
        <w:top w:val="none" w:sz="0" w:space="0" w:color="auto"/>
        <w:left w:val="none" w:sz="0" w:space="0" w:color="auto"/>
        <w:bottom w:val="none" w:sz="0" w:space="0" w:color="auto"/>
        <w:right w:val="none" w:sz="0" w:space="0" w:color="auto"/>
      </w:divBdr>
    </w:div>
    <w:div w:id="1804932107">
      <w:bodyDiv w:val="1"/>
      <w:marLeft w:val="0"/>
      <w:marRight w:val="0"/>
      <w:marTop w:val="0"/>
      <w:marBottom w:val="0"/>
      <w:divBdr>
        <w:top w:val="none" w:sz="0" w:space="0" w:color="auto"/>
        <w:left w:val="none" w:sz="0" w:space="0" w:color="auto"/>
        <w:bottom w:val="none" w:sz="0" w:space="0" w:color="auto"/>
        <w:right w:val="none" w:sz="0" w:space="0" w:color="auto"/>
      </w:divBdr>
    </w:div>
    <w:div w:id="1807044770">
      <w:bodyDiv w:val="1"/>
      <w:marLeft w:val="0"/>
      <w:marRight w:val="0"/>
      <w:marTop w:val="0"/>
      <w:marBottom w:val="0"/>
      <w:divBdr>
        <w:top w:val="none" w:sz="0" w:space="0" w:color="auto"/>
        <w:left w:val="none" w:sz="0" w:space="0" w:color="auto"/>
        <w:bottom w:val="none" w:sz="0" w:space="0" w:color="auto"/>
        <w:right w:val="none" w:sz="0" w:space="0" w:color="auto"/>
      </w:divBdr>
    </w:div>
    <w:div w:id="1819570289">
      <w:bodyDiv w:val="1"/>
      <w:marLeft w:val="0"/>
      <w:marRight w:val="0"/>
      <w:marTop w:val="0"/>
      <w:marBottom w:val="0"/>
      <w:divBdr>
        <w:top w:val="none" w:sz="0" w:space="0" w:color="auto"/>
        <w:left w:val="none" w:sz="0" w:space="0" w:color="auto"/>
        <w:bottom w:val="none" w:sz="0" w:space="0" w:color="auto"/>
        <w:right w:val="none" w:sz="0" w:space="0" w:color="auto"/>
      </w:divBdr>
    </w:div>
    <w:div w:id="1839733366">
      <w:bodyDiv w:val="1"/>
      <w:marLeft w:val="0"/>
      <w:marRight w:val="0"/>
      <w:marTop w:val="0"/>
      <w:marBottom w:val="0"/>
      <w:divBdr>
        <w:top w:val="none" w:sz="0" w:space="0" w:color="auto"/>
        <w:left w:val="none" w:sz="0" w:space="0" w:color="auto"/>
        <w:bottom w:val="none" w:sz="0" w:space="0" w:color="auto"/>
        <w:right w:val="none" w:sz="0" w:space="0" w:color="auto"/>
      </w:divBdr>
    </w:div>
    <w:div w:id="1870029935">
      <w:bodyDiv w:val="1"/>
      <w:marLeft w:val="0"/>
      <w:marRight w:val="0"/>
      <w:marTop w:val="0"/>
      <w:marBottom w:val="0"/>
      <w:divBdr>
        <w:top w:val="none" w:sz="0" w:space="0" w:color="auto"/>
        <w:left w:val="none" w:sz="0" w:space="0" w:color="auto"/>
        <w:bottom w:val="none" w:sz="0" w:space="0" w:color="auto"/>
        <w:right w:val="none" w:sz="0" w:space="0" w:color="auto"/>
      </w:divBdr>
    </w:div>
    <w:div w:id="1874339873">
      <w:bodyDiv w:val="1"/>
      <w:marLeft w:val="0"/>
      <w:marRight w:val="0"/>
      <w:marTop w:val="0"/>
      <w:marBottom w:val="0"/>
      <w:divBdr>
        <w:top w:val="none" w:sz="0" w:space="0" w:color="auto"/>
        <w:left w:val="none" w:sz="0" w:space="0" w:color="auto"/>
        <w:bottom w:val="none" w:sz="0" w:space="0" w:color="auto"/>
        <w:right w:val="none" w:sz="0" w:space="0" w:color="auto"/>
      </w:divBdr>
    </w:div>
    <w:div w:id="1886865187">
      <w:bodyDiv w:val="1"/>
      <w:marLeft w:val="0"/>
      <w:marRight w:val="0"/>
      <w:marTop w:val="0"/>
      <w:marBottom w:val="0"/>
      <w:divBdr>
        <w:top w:val="none" w:sz="0" w:space="0" w:color="auto"/>
        <w:left w:val="none" w:sz="0" w:space="0" w:color="auto"/>
        <w:bottom w:val="none" w:sz="0" w:space="0" w:color="auto"/>
        <w:right w:val="none" w:sz="0" w:space="0" w:color="auto"/>
      </w:divBdr>
    </w:div>
    <w:div w:id="1920403229">
      <w:bodyDiv w:val="1"/>
      <w:marLeft w:val="0"/>
      <w:marRight w:val="0"/>
      <w:marTop w:val="0"/>
      <w:marBottom w:val="0"/>
      <w:divBdr>
        <w:top w:val="none" w:sz="0" w:space="0" w:color="auto"/>
        <w:left w:val="none" w:sz="0" w:space="0" w:color="auto"/>
        <w:bottom w:val="none" w:sz="0" w:space="0" w:color="auto"/>
        <w:right w:val="none" w:sz="0" w:space="0" w:color="auto"/>
      </w:divBdr>
    </w:div>
    <w:div w:id="1959338449">
      <w:bodyDiv w:val="1"/>
      <w:marLeft w:val="0"/>
      <w:marRight w:val="0"/>
      <w:marTop w:val="0"/>
      <w:marBottom w:val="0"/>
      <w:divBdr>
        <w:top w:val="none" w:sz="0" w:space="0" w:color="auto"/>
        <w:left w:val="none" w:sz="0" w:space="0" w:color="auto"/>
        <w:bottom w:val="none" w:sz="0" w:space="0" w:color="auto"/>
        <w:right w:val="none" w:sz="0" w:space="0" w:color="auto"/>
      </w:divBdr>
    </w:div>
    <w:div w:id="1989629646">
      <w:bodyDiv w:val="1"/>
      <w:marLeft w:val="0"/>
      <w:marRight w:val="0"/>
      <w:marTop w:val="0"/>
      <w:marBottom w:val="0"/>
      <w:divBdr>
        <w:top w:val="none" w:sz="0" w:space="0" w:color="auto"/>
        <w:left w:val="none" w:sz="0" w:space="0" w:color="auto"/>
        <w:bottom w:val="none" w:sz="0" w:space="0" w:color="auto"/>
        <w:right w:val="none" w:sz="0" w:space="0" w:color="auto"/>
      </w:divBdr>
    </w:div>
    <w:div w:id="2052147557">
      <w:bodyDiv w:val="1"/>
      <w:marLeft w:val="0"/>
      <w:marRight w:val="0"/>
      <w:marTop w:val="0"/>
      <w:marBottom w:val="0"/>
      <w:divBdr>
        <w:top w:val="none" w:sz="0" w:space="0" w:color="auto"/>
        <w:left w:val="none" w:sz="0" w:space="0" w:color="auto"/>
        <w:bottom w:val="none" w:sz="0" w:space="0" w:color="auto"/>
        <w:right w:val="none" w:sz="0" w:space="0" w:color="auto"/>
      </w:divBdr>
    </w:div>
    <w:div w:id="2112554146">
      <w:bodyDiv w:val="1"/>
      <w:marLeft w:val="0"/>
      <w:marRight w:val="0"/>
      <w:marTop w:val="0"/>
      <w:marBottom w:val="0"/>
      <w:divBdr>
        <w:top w:val="none" w:sz="0" w:space="0" w:color="auto"/>
        <w:left w:val="none" w:sz="0" w:space="0" w:color="auto"/>
        <w:bottom w:val="none" w:sz="0" w:space="0" w:color="auto"/>
        <w:right w:val="none" w:sz="0" w:space="0" w:color="auto"/>
      </w:divBdr>
    </w:div>
    <w:div w:id="2123761750">
      <w:bodyDiv w:val="1"/>
      <w:marLeft w:val="0"/>
      <w:marRight w:val="0"/>
      <w:marTop w:val="0"/>
      <w:marBottom w:val="0"/>
      <w:divBdr>
        <w:top w:val="none" w:sz="0" w:space="0" w:color="auto"/>
        <w:left w:val="none" w:sz="0" w:space="0" w:color="auto"/>
        <w:bottom w:val="none" w:sz="0" w:space="0" w:color="auto"/>
        <w:right w:val="none" w:sz="0" w:space="0" w:color="auto"/>
      </w:divBdr>
    </w:div>
    <w:div w:id="214068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pu.org/resources/publications/handbooks/2016-07/human-rights-handbook-parliamentarians" TargetMode="External"/><Relationship Id="rId18" Type="http://schemas.openxmlformats.org/officeDocument/2006/relationships/hyperlink" Target="https://www.eca.europa.eu/sites/regulatory-impact-analysis-conference/EN/Documents/Artcicle%20Popelier.pdf" TargetMode="External"/><Relationship Id="rId26" Type="http://schemas.openxmlformats.org/officeDocument/2006/relationships/hyperlink" Target="https://heinonline.org/HOL/LandingPage?handle=hein.journals/ejlr21&amp;div=20&amp;id=&amp;page=" TargetMode="External"/><Relationship Id="rId39" Type="http://schemas.openxmlformats.org/officeDocument/2006/relationships/hyperlink" Target="https://www.ipu.org/file/11260/download" TargetMode="External"/><Relationship Id="rId3" Type="http://schemas.openxmlformats.org/officeDocument/2006/relationships/customXml" Target="../customXml/item3.xml"/><Relationship Id="rId21" Type="http://schemas.openxmlformats.org/officeDocument/2006/relationships/hyperlink" Target="http://archive.ipu.org/pdf/publications/gsp11-e.pdf" TargetMode="External"/><Relationship Id="rId34" Type="http://schemas.openxmlformats.org/officeDocument/2006/relationships/hyperlink" Target="https://www2.unwomen.org/-/media/field%20office%20eca/attachments/publications/country/ukraine/en%20manual%20grb%20analysisprint-100.pdf?la=en&amp;vs=228" TargetMode="External"/><Relationship Id="rId42" Type="http://schemas.openxmlformats.org/officeDocument/2006/relationships/hyperlink" Target="https://www.ipu.org/youth2021"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hchr.org/en/publications/special-issue-publications/human-rights-handbook-parliamentarians-revised-edition" TargetMode="External"/><Relationship Id="rId17" Type="http://schemas.openxmlformats.org/officeDocument/2006/relationships/hyperlink" Target="https://www.ipu.org/file/5054/download" TargetMode="External"/><Relationship Id="rId25" Type="http://schemas.openxmlformats.org/officeDocument/2006/relationships/hyperlink" Target="http://www.parliament.gov.fj/newitems/GENDERTOOLKIT_A5_FINAL.pdf" TargetMode="External"/><Relationship Id="rId33" Type="http://schemas.openxmlformats.org/officeDocument/2006/relationships/hyperlink" Target="https://eca.unwomen.org/sites/default/files/Field%20Office%20ECA/Attachments/Publications/Country/Ukraine/EN%20manual%20GRB%20AnalysisPRINT-100.pdf" TargetMode="External"/><Relationship Id="rId38" Type="http://schemas.openxmlformats.org/officeDocument/2006/relationships/hyperlink" Target="https://www.ipu.org/resources/publications/handbooks/2016-07/handbook-child-participation-in-parliament"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hchr.org/sites/default/files/Documents/HRBodies/HRCouncil/RegularSession/Session20/A-HRC-20-9_en.pdf" TargetMode="External"/><Relationship Id="rId20" Type="http://schemas.openxmlformats.org/officeDocument/2006/relationships/hyperlink" Target="http://archive.ipu.org/pdf/publications/gsp11-e.pdf" TargetMode="External"/><Relationship Id="rId29" Type="http://schemas.openxmlformats.org/officeDocument/2006/relationships/hyperlink" Target="https://www.imf.org/en/Publications/WP/Issues/2016/12/31/Europe-A-Survey-of-Gender-Budgeting-Efforts-44148" TargetMode="External"/><Relationship Id="rId41" Type="http://schemas.openxmlformats.org/officeDocument/2006/relationships/hyperlink" Target="https://www.ipu.org/youth20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sce.org/odihr/327836" TargetMode="External"/><Relationship Id="rId32" Type="http://schemas.openxmlformats.org/officeDocument/2006/relationships/hyperlink" Target="https://www.oecd.org/gender/Gender-Budgeting-in-OECD-countries.pdf" TargetMode="External"/><Relationship Id="rId37" Type="http://schemas.openxmlformats.org/officeDocument/2006/relationships/hyperlink" Target="https://www.ipu.org/resources/publications/handbooks/2016-07/handbook-child-participation-in-parliament" TargetMode="External"/><Relationship Id="rId40" Type="http://schemas.openxmlformats.org/officeDocument/2006/relationships/hyperlink" Target="https://www.ipu.org/file/11260/download"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ohchr.org/en/instruments-mechanisms/instruments/international-covenant-civil-and-political-rights" TargetMode="External"/><Relationship Id="rId23" Type="http://schemas.openxmlformats.org/officeDocument/2006/relationships/hyperlink" Target="https://www.osce.org/odihr/327836" TargetMode="External"/><Relationship Id="rId28" Type="http://schemas.openxmlformats.org/officeDocument/2006/relationships/hyperlink" Target="https://www.ndi.org/sites/default/files/Manual%20for%20Training%20on%20Gender%20Responsive%20Budgeting.pdf" TargetMode="External"/><Relationship Id="rId36" Type="http://schemas.openxmlformats.org/officeDocument/2006/relationships/hyperlink" Target="http://archive.ipu.org/conf-e/122/Res-3.htm" TargetMode="External"/><Relationship Id="rId10" Type="http://schemas.openxmlformats.org/officeDocument/2006/relationships/footnotes" Target="footnotes.xml"/><Relationship Id="rId19" Type="http://schemas.openxmlformats.org/officeDocument/2006/relationships/hyperlink" Target="https://www.ihrec.ie/app/uploads/download/pdf/guidelines_for_conducting_equality_impact_assessments_on_ivea_and_vec_plans_policies_and_programmes.pdf" TargetMode="External"/><Relationship Id="rId31" Type="http://schemas.openxmlformats.org/officeDocument/2006/relationships/hyperlink" Target="http://archive.ipu.org/PDF/publications/budget_en.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en/about-us/universal-declaration-of-human-rights" TargetMode="External"/><Relationship Id="rId22" Type="http://schemas.openxmlformats.org/officeDocument/2006/relationships/hyperlink" Target="https://www.ipu.org/resources/publications/toolkits/2016-11/evaluating-gender-sensitivity-parliaments-self-assessment-toolkit" TargetMode="External"/><Relationship Id="rId27" Type="http://schemas.openxmlformats.org/officeDocument/2006/relationships/hyperlink" Target="https://heinonline.org/HOL/LandingPage?handle=hein.journals/ejlr21&amp;div=20&amp;id=&amp;page=" TargetMode="External"/><Relationship Id="rId30" Type="http://schemas.openxmlformats.org/officeDocument/2006/relationships/hyperlink" Target="https://www.imf.org/en/Publications/WP/Issues/2016/12/31/Europe-A-Survey-of-Gender-Budgeting-Efforts-44148" TargetMode="External"/><Relationship Id="rId35" Type="http://schemas.openxmlformats.org/officeDocument/2006/relationships/hyperlink" Target="http://archive.ipu.org/conf-e/122/Res-3.htm" TargetMode="External"/><Relationship Id="rId43" Type="http://schemas.openxmlformats.org/officeDocument/2006/relationships/header" Target="head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N/8I/bTZ/xIEiF+O4F4Q/BnhQA==">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</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41501-45F8-4321-A5EF-8DD19FF94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7AA32F3-5603-45F1-AF72-4A5B162EAC31}">
  <ds:schemaRefs>
    <ds:schemaRef ds:uri="http://schemas.openxmlformats.org/officeDocument/2006/bibliography"/>
  </ds:schemaRefs>
</ds:datastoreItem>
</file>

<file path=customXml/itemProps4.xml><?xml version="1.0" encoding="utf-8"?>
<ds:datastoreItem xmlns:ds="http://schemas.openxmlformats.org/officeDocument/2006/customXml" ds:itemID="{3890F793-930F-4471-8952-D27BBDDEC8C1}">
  <ds:schemaRefs>
    <ds:schemaRef ds:uri="http://schemas.microsoft.com/sharepoint/v3/contenttype/forms"/>
  </ds:schemaRefs>
</ds:datastoreItem>
</file>

<file path=customXml/itemProps5.xml><?xml version="1.0" encoding="utf-8"?>
<ds:datastoreItem xmlns:ds="http://schemas.openxmlformats.org/officeDocument/2006/customXml" ds:itemID="{91CA9F45-7E95-4F3E-8ECA-DC1D1013AE36}">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4044</Words>
  <Characters>29889</Characters>
  <Application>Microsoft Office Word</Application>
  <DocSecurity>0</DocSecurity>
  <Lines>553</Lines>
  <Paragraphs>208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Mijanovic</dc:creator>
  <cp:lastModifiedBy>Andy Richardson</cp:lastModifiedBy>
  <cp:revision>8</cp:revision>
  <dcterms:created xsi:type="dcterms:W3CDTF">2023-09-12T11:13:00Z</dcterms:created>
  <dcterms:modified xsi:type="dcterms:W3CDTF">2023-10-14T14:23:00Z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