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19AA9" w14:textId="77777777" w:rsidR="00156617" w:rsidRPr="00546C0C" w:rsidRDefault="00156617" w:rsidP="00546C0C">
      <w:pPr>
        <w:pStyle w:val="Indicator"/>
        <w:rPr>
          <w:lang w:val="fr-CH"/>
        </w:rPr>
      </w:pPr>
      <w:r w:rsidRPr="00546C0C">
        <w:rPr>
          <w:lang w:val="fr-CH"/>
        </w:rPr>
        <w:t>Indicateur 5.2 : Pratiques institutionnelles inclusives</w:t>
      </w:r>
    </w:p>
    <w:p w14:paraId="1B66E325" w14:textId="77777777" w:rsidR="00156617" w:rsidRPr="00546C0C" w:rsidRDefault="00156617" w:rsidP="00546C0C">
      <w:pPr>
        <w:pStyle w:val="section-title"/>
      </w:pPr>
      <w:r w:rsidRPr="00546C0C">
        <w:t>À propos de l</w:t>
      </w:r>
      <w:r w:rsidRPr="00546C0C">
        <w:rPr>
          <w:cs/>
        </w:rPr>
        <w:t>’</w:t>
      </w:r>
      <w:r w:rsidRPr="00546C0C">
        <w:t>indicateur</w:t>
      </w:r>
    </w:p>
    <w:p w14:paraId="5524BA30" w14:textId="77777777" w:rsidR="00156617" w:rsidRPr="00D14721" w:rsidRDefault="00156617">
      <w:pPr>
        <w:rPr>
          <w:rFonts w:eastAsia="Arial" w:cs="Arial"/>
        </w:rPr>
      </w:pPr>
      <w:r w:rsidRPr="00D14721">
        <w:t xml:space="preserve">Le présent indicateur concerne l'inclusivité du parlement pour ce qui est de ses pratiques institutionnelles. Il part du principe que, pour représenter de façon efficace la société et demander des comptes à l'exécutif au nom des citoyens, le parlement doit être </w:t>
      </w:r>
      <w:r w:rsidR="00D9395E" w:rsidRPr="00D14721">
        <w:t xml:space="preserve">lui-même </w:t>
      </w:r>
      <w:r w:rsidRPr="00D14721">
        <w:t>une institution inclusive.</w:t>
      </w:r>
    </w:p>
    <w:p w14:paraId="7D07AE2B" w14:textId="77777777" w:rsidR="00156617" w:rsidRPr="00D14721" w:rsidRDefault="00156617"/>
    <w:p w14:paraId="2AB1B157" w14:textId="77777777" w:rsidR="00156617" w:rsidRPr="00D14721" w:rsidRDefault="00156617">
      <w:pPr>
        <w:rPr>
          <w:rFonts w:eastAsia="Arial" w:cs="Arial"/>
        </w:rPr>
      </w:pPr>
      <w:r w:rsidRPr="00D14721">
        <w:t>Cet indicateur porte sur la diversité du personnel parlementaire. Il traite spécifiquement de questions d'équilibre entre les sexes dans la composition de l'administration parlementaire, notamment le personnel clé. La capacité du parlement à rendre ses activités inclusives pour les divers groupes de la société, particulièrement lorsque de multiples langues officielles sont parlées, représente aussi un élément important pour l'inclusivité du parlement. </w:t>
      </w:r>
    </w:p>
    <w:p w14:paraId="7DED2B0C" w14:textId="77777777" w:rsidR="00156617" w:rsidRPr="00D14721" w:rsidRDefault="00156617"/>
    <w:p w14:paraId="0E996067" w14:textId="77777777" w:rsidR="00156617" w:rsidRPr="00D14721" w:rsidRDefault="00156617">
      <w:pPr>
        <w:rPr>
          <w:rFonts w:eastAsia="Arial" w:cs="Arial"/>
        </w:rPr>
      </w:pPr>
      <w:r w:rsidRPr="00D14721">
        <w:t xml:space="preserve">L'indicateur met en exergue l'importance d'un environnement de travail bienveillant. Le parlement doit veiller sur la santé, la sécurité et le bien-être des parlementaires et du personnel parlementaire, ainsi que des visiteurs. Il est notamment escompté du parlement qu'il prenne des mesures pour prévenir et combattre le sexisme, le harcèlement et la violence à l'encontre des parlementaires et du personnel parlementaire, tout particulièrement la violence fondée sur le genre. </w:t>
      </w:r>
    </w:p>
    <w:p w14:paraId="2D13F868" w14:textId="77777777" w:rsidR="00156617" w:rsidRPr="00D14721" w:rsidRDefault="00156617"/>
    <w:p w14:paraId="722D6EF7" w14:textId="77777777" w:rsidR="00156617" w:rsidRPr="00D14721" w:rsidRDefault="00156617">
      <w:r w:rsidRPr="00D14721">
        <w:t>L'indicateur comprend les aspects suivants :</w:t>
      </w:r>
    </w:p>
    <w:p w14:paraId="5406FAFB" w14:textId="77777777" w:rsidR="00156617" w:rsidRPr="00D14721" w:rsidRDefault="00156617">
      <w:pPr>
        <w:rPr>
          <w:rFonts w:eastAsia="Arial" w:cs="Arial"/>
        </w:rPr>
      </w:pPr>
    </w:p>
    <w:p w14:paraId="2AD755C3" w14:textId="77777777" w:rsidR="00156617" w:rsidRPr="00D14721" w:rsidRDefault="00156617">
      <w:pPr>
        <w:pStyle w:val="Paragraphedeliste"/>
        <w:rPr>
          <w:rFonts w:eastAsia="Arial" w:cs="Arial"/>
        </w:rPr>
      </w:pPr>
      <w:r w:rsidRPr="00D14721">
        <w:t>Aspect 5.2.1 : Diversité du personnel</w:t>
      </w:r>
    </w:p>
    <w:p w14:paraId="2201E6DE" w14:textId="77777777" w:rsidR="00156617" w:rsidRPr="00D14721" w:rsidRDefault="00156617"/>
    <w:p w14:paraId="3E02A1FF" w14:textId="77777777" w:rsidR="00156617" w:rsidRPr="00D14721" w:rsidRDefault="00156617">
      <w:pPr>
        <w:pStyle w:val="Paragraphedeliste"/>
        <w:rPr>
          <w:rFonts w:eastAsia="Arial" w:cs="Arial"/>
        </w:rPr>
      </w:pPr>
      <w:r w:rsidRPr="00D14721">
        <w:t>Aspect 5.2.2 : Environnement de travail</w:t>
      </w:r>
    </w:p>
    <w:p w14:paraId="060D9B31" w14:textId="77777777" w:rsidR="00156617" w:rsidRPr="00D14721" w:rsidRDefault="00156617"/>
    <w:p w14:paraId="53075B53" w14:textId="77777777" w:rsidR="00156617" w:rsidRPr="00D14721" w:rsidRDefault="00156617">
      <w:pPr>
        <w:pStyle w:val="Paragraphedeliste"/>
        <w:rPr>
          <w:rFonts w:eastAsia="Arial" w:cs="Arial"/>
        </w:rPr>
      </w:pPr>
      <w:r w:rsidRPr="00D14721">
        <w:t>Aspect 5.2.3 : Lutte contre le sexisme, le harcèlement et la violence</w:t>
      </w:r>
    </w:p>
    <w:p w14:paraId="5C4765A7" w14:textId="77777777" w:rsidR="00156617" w:rsidRPr="00D14721" w:rsidRDefault="00156617"/>
    <w:p w14:paraId="3A13A417" w14:textId="77777777" w:rsidR="00156617" w:rsidRPr="00D14721" w:rsidRDefault="00156617">
      <w:pPr>
        <w:pStyle w:val="Paragraphedeliste"/>
        <w:rPr>
          <w:rFonts w:eastAsia="Arial" w:cs="Arial"/>
        </w:rPr>
      </w:pPr>
      <w:r w:rsidRPr="00D14721">
        <w:t>Aspect 5.2.4 : Offre de services multilingues</w:t>
      </w:r>
    </w:p>
    <w:p w14:paraId="1E8AD9D4" w14:textId="77777777" w:rsidR="00156617" w:rsidRPr="00D14721" w:rsidRDefault="00156617"/>
    <w:p w14:paraId="4FD35AD4" w14:textId="77777777" w:rsidR="00156617" w:rsidRPr="00D14721" w:rsidRDefault="00156617"/>
    <w:p w14:paraId="7A50556C" w14:textId="77777777" w:rsidR="00156617" w:rsidRPr="00D14721" w:rsidRDefault="00156617">
      <w:pPr>
        <w:spacing w:after="160" w:line="259" w:lineRule="auto"/>
      </w:pPr>
      <w:r w:rsidRPr="00D14721">
        <w:br w:type="page"/>
      </w:r>
    </w:p>
    <w:p w14:paraId="76EA0B57" w14:textId="77777777" w:rsidR="00156617" w:rsidRPr="00D14721" w:rsidRDefault="00156617" w:rsidP="00546C0C">
      <w:pPr>
        <w:pStyle w:val="Dimension"/>
      </w:pPr>
      <w:bookmarkStart w:id="0" w:name="_heading=h.zaj5phlanybl"/>
      <w:bookmarkEnd w:id="0"/>
      <w:r w:rsidRPr="00D14721">
        <w:lastRenderedPageBreak/>
        <w:t xml:space="preserve">Aspect 5.2.1 : Diversité du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8780"/>
      </w:tblGrid>
      <w:tr w:rsidR="00156617" w:rsidRPr="00D14721" w14:paraId="4302CEA0" w14:textId="77777777">
        <w:tc>
          <w:tcPr>
            <w:tcW w:w="9350" w:type="dxa"/>
            <w:shd w:val="clear" w:color="auto" w:fill="EEEEEE"/>
          </w:tcPr>
          <w:p w14:paraId="0BC1F33B" w14:textId="77777777" w:rsidR="00156617" w:rsidRPr="00D14721" w:rsidRDefault="00156617">
            <w:pPr>
              <w:rPr>
                <w:rFonts w:eastAsia="Arial" w:cs="Arial"/>
              </w:rPr>
            </w:pPr>
            <w:r w:rsidRPr="00D14721">
              <w:rPr>
                <w:sz w:val="24"/>
              </w:rPr>
              <w:t>Cet aspect s'applique aux éléments suivants :</w:t>
            </w:r>
          </w:p>
          <w:p w14:paraId="2A9CE432" w14:textId="77777777" w:rsidR="00156617" w:rsidRPr="00D14721" w:rsidRDefault="00156617">
            <w:pPr>
              <w:pStyle w:val="Paragraphedeliste"/>
            </w:pPr>
            <w:r w:rsidRPr="00D14721">
              <w:rPr>
                <w:sz w:val="24"/>
              </w:rPr>
              <w:t>Indicateur 5.2 : Pratiques institutionnelles inclusives</w:t>
            </w:r>
          </w:p>
          <w:p w14:paraId="5FEB09C2" w14:textId="77777777" w:rsidR="00156617" w:rsidRPr="00D14721" w:rsidRDefault="00156617">
            <w:pPr>
              <w:pStyle w:val="Paragraphedeliste"/>
              <w:rPr>
                <w:sz w:val="24"/>
              </w:rPr>
            </w:pPr>
            <w:r w:rsidRPr="00D14721">
              <w:rPr>
                <w:sz w:val="24"/>
              </w:rPr>
              <w:t>Cible 5 : Des parlements inclusifs</w:t>
            </w:r>
          </w:p>
          <w:p w14:paraId="56E24F23" w14:textId="77777777" w:rsidR="00156617" w:rsidRPr="00D14721" w:rsidRDefault="00156617">
            <w:pPr>
              <w:rPr>
                <w:sz w:val="24"/>
              </w:rPr>
            </w:pPr>
          </w:p>
        </w:tc>
      </w:tr>
    </w:tbl>
    <w:p w14:paraId="51872AE2" w14:textId="77777777" w:rsidR="00156617" w:rsidRPr="00D14721" w:rsidRDefault="00156617" w:rsidP="00546C0C">
      <w:pPr>
        <w:pStyle w:val="section-title"/>
      </w:pPr>
      <w:r w:rsidRPr="00D14721">
        <w:t>À propos de l'aspect</w:t>
      </w:r>
    </w:p>
    <w:p w14:paraId="4984FDB0" w14:textId="77777777" w:rsidR="00156617" w:rsidRPr="00D14721" w:rsidRDefault="00156617">
      <w:pPr>
        <w:rPr>
          <w:rFonts w:eastAsia="Arial" w:cs="Arial"/>
        </w:rPr>
      </w:pPr>
      <w:r w:rsidRPr="00D14721">
        <w:t xml:space="preserve">Pour que le parlement soit réellement une institution inclusive et s'acquitte efficacement de ses </w:t>
      </w:r>
      <w:r w:rsidR="007A0093" w:rsidRPr="00D14721">
        <w:t>fonctions</w:t>
      </w:r>
      <w:r w:rsidRPr="00D14721">
        <w:t xml:space="preserve"> de représentation et de redevabilité, il doit veiller à ce que le personnel qui travaille pour lui représente la société dans sa diversité. </w:t>
      </w:r>
    </w:p>
    <w:p w14:paraId="0E051DC2" w14:textId="77777777" w:rsidR="00156617" w:rsidRPr="00D14721" w:rsidRDefault="00156617"/>
    <w:p w14:paraId="755366A0" w14:textId="77777777" w:rsidR="00156617" w:rsidRPr="00D14721" w:rsidRDefault="00156617">
      <w:r w:rsidRPr="00D14721">
        <w:t>Dans cette perspective, le cadre juridique devrait imposer la non-discrimination pour tous les groupes de la société en matière de recrutement, de conditions d'emploi et d'avancement de carrière. Il d</w:t>
      </w:r>
      <w:r w:rsidR="007A0093" w:rsidRPr="00D14721">
        <w:t>evra</w:t>
      </w:r>
      <w:r w:rsidRPr="00D14721">
        <w:t>it également être clairement établi que le parlement est un employeur veillant à l'égalité des chances en vertu du principe qui veut que toute personne bénéficie de chances égales en matière d'emploi, quel</w:t>
      </w:r>
      <w:r w:rsidR="00D9395E" w:rsidRPr="00D14721">
        <w:t>le</w:t>
      </w:r>
      <w:r w:rsidRPr="00D14721">
        <w:t xml:space="preserve">s que soient ses caractéristiques (notamment la race, le sexe, l'âge, la religion, le handicap, les préférences sexuelles ou l'identité ou l'expression de genre). </w:t>
      </w:r>
    </w:p>
    <w:p w14:paraId="1B950F73" w14:textId="77777777" w:rsidR="00156617" w:rsidRPr="00D14721" w:rsidRDefault="00156617"/>
    <w:p w14:paraId="407E640D" w14:textId="77777777" w:rsidR="00156617" w:rsidRPr="00D14721" w:rsidRDefault="00156617">
      <w:pPr>
        <w:rPr>
          <w:rFonts w:eastAsia="Arial" w:cs="Arial"/>
        </w:rPr>
      </w:pPr>
      <w:r w:rsidRPr="00D14721">
        <w:t xml:space="preserve">Le respect de l'équilibre entre les sexes dans l'administration parlementaire contribue à enrichir les activités du parlement de points de vue variés et constitue un élément important de la diversité du parlement en tant que lieu de travail et de </w:t>
      </w:r>
      <w:r w:rsidR="007A0093" w:rsidRPr="00D14721">
        <w:t xml:space="preserve">sa démarche pour intégrer </w:t>
      </w:r>
      <w:r w:rsidRPr="00D14721">
        <w:t xml:space="preserve">la dimension de genre. Les plans stratégiques ou les politiques en faveur de l'égalité des sexes </w:t>
      </w:r>
      <w:r w:rsidR="007A0093" w:rsidRPr="00D14721">
        <w:t xml:space="preserve">de l’institution </w:t>
      </w:r>
      <w:r w:rsidRPr="00D14721">
        <w:t xml:space="preserve">devraient assurer l'équilibre entre les sexes dans l'administration parlementaire, ainsi que la répartition équitable de la charge de travail entre les divers services administratifs du parlement et degrés d'ancienneté. Les stéréotypes de genre ne doivent pas servir de </w:t>
      </w:r>
      <w:r w:rsidR="007A0093" w:rsidRPr="00D14721">
        <w:t xml:space="preserve">prétexte </w:t>
      </w:r>
      <w:r w:rsidRPr="00D14721">
        <w:t xml:space="preserve">à l'attribution de tâches différentes. </w:t>
      </w:r>
    </w:p>
    <w:p w14:paraId="4BD1262E" w14:textId="77777777" w:rsidR="00156617" w:rsidRPr="00D14721" w:rsidRDefault="00156617"/>
    <w:p w14:paraId="31B29C49" w14:textId="49B7546B" w:rsidR="00156617" w:rsidRPr="00D14721" w:rsidRDefault="00156617">
      <w:pPr>
        <w:rPr>
          <w:rFonts w:eastAsia="Arial" w:cs="Arial"/>
        </w:rPr>
      </w:pPr>
      <w:r w:rsidRPr="00D14721">
        <w:t>Des politiques sensibles au genre et non discriminatoires devrai</w:t>
      </w:r>
      <w:r w:rsidR="00F7707F">
        <w:t>en</w:t>
      </w:r>
      <w:r w:rsidRPr="00D14721">
        <w:t>t être instaurées pour la gestion des ressources humaines et appliquées au recrutement et au développement de carrière du personnel. Le parlement devrait veiller à ce qu'il n'existe pas d'inégalités salariales entre les sexes et à ce qu</w:t>
      </w:r>
      <w:r w:rsidR="002A32CA">
        <w:t xml:space="preserve">e sa pratique institutionnelle fasse </w:t>
      </w:r>
      <w:r w:rsidRPr="00D14721">
        <w:t>appel à une terminologie sensible au genre.</w:t>
      </w:r>
    </w:p>
    <w:p w14:paraId="2C2273BD" w14:textId="77777777" w:rsidR="00156617" w:rsidRPr="00D14721" w:rsidRDefault="00156617"/>
    <w:p w14:paraId="40BEDD9F" w14:textId="77777777" w:rsidR="00156617" w:rsidRPr="00D14721" w:rsidRDefault="00156617">
      <w:r w:rsidRPr="00D14721">
        <w:t>Au-delà du cadre juridique, il est également important que le parlement offre aux groupes sous-représentés de vraies occasions de s'insérer dans l'administration parlementaire. Ces approches peuvent p</w:t>
      </w:r>
      <w:r w:rsidR="00D9395E" w:rsidRPr="00D14721">
        <w:t>rendre la forme d’</w:t>
      </w:r>
      <w:r w:rsidRPr="00D14721">
        <w:t xml:space="preserve">un recrutement ciblé, </w:t>
      </w:r>
      <w:r w:rsidR="00D9395E" w:rsidRPr="00D14721">
        <w:t>d’</w:t>
      </w:r>
      <w:r w:rsidRPr="00D14721">
        <w:t xml:space="preserve">une formation spécialisée à l'intention des collaborateurs parlementaires de groupes sous-représentés déjà recrutés, de mesures visant à fidéliser les collaborateurs appartenant à ces groupes et à leur </w:t>
      </w:r>
      <w:r w:rsidR="00D9395E" w:rsidRPr="00D14721">
        <w:t xml:space="preserve">accorder </w:t>
      </w:r>
      <w:r w:rsidRPr="00D14721">
        <w:t xml:space="preserve">des avancements et </w:t>
      </w:r>
      <w:r w:rsidR="00D9395E" w:rsidRPr="00D14721">
        <w:t>d’</w:t>
      </w:r>
      <w:r w:rsidRPr="00D14721">
        <w:t xml:space="preserve">une formation </w:t>
      </w:r>
      <w:r w:rsidR="00D9395E" w:rsidRPr="00D14721">
        <w:t xml:space="preserve">visant à sensibiliser </w:t>
      </w:r>
      <w:r w:rsidRPr="00D14721">
        <w:t xml:space="preserve">l'ensemble du personnel. </w:t>
      </w:r>
    </w:p>
    <w:p w14:paraId="7548ECEF" w14:textId="77777777" w:rsidR="00156617" w:rsidRPr="00D14721" w:rsidRDefault="00156617"/>
    <w:p w14:paraId="09B6744E" w14:textId="075AC2D0" w:rsidR="00156617" w:rsidRPr="00D14721" w:rsidRDefault="00156617">
      <w:pPr>
        <w:rPr>
          <w:rFonts w:eastAsia="Arial" w:cs="Arial"/>
        </w:rPr>
      </w:pPr>
      <w:r w:rsidRPr="00D14721">
        <w:t>Voir également l'</w:t>
      </w:r>
      <w:r w:rsidRPr="00D14721">
        <w:rPr>
          <w:i/>
        </w:rPr>
        <w:t>aspect 2.2.</w:t>
      </w:r>
      <w:r w:rsidR="00EB71B4">
        <w:rPr>
          <w:i/>
        </w:rPr>
        <w:t>4</w:t>
      </w:r>
      <w:r w:rsidRPr="00D14721">
        <w:rPr>
          <w:i/>
        </w:rPr>
        <w:t xml:space="preserve"> : </w:t>
      </w:r>
      <w:r w:rsidR="00821EE0" w:rsidRPr="00D14721">
        <w:rPr>
          <w:i/>
        </w:rPr>
        <w:t>Professionnalisme de l'administration parlementaire, l'aspect 5.1.3 : Intégration de la dimension de genre</w:t>
      </w:r>
      <w:r w:rsidR="00821EE0" w:rsidRPr="00D14721">
        <w:t xml:space="preserve"> et l'</w:t>
      </w:r>
      <w:r w:rsidR="00821EE0" w:rsidRPr="00D14721">
        <w:rPr>
          <w:i/>
        </w:rPr>
        <w:t>aspect 5.2.2 : Environnement de travail.</w:t>
      </w:r>
    </w:p>
    <w:p w14:paraId="379881F8" w14:textId="77777777" w:rsidR="00821EE0" w:rsidRPr="00D14721" w:rsidRDefault="00821EE0" w:rsidP="00546C0C">
      <w:pPr>
        <w:pStyle w:val="section-title"/>
      </w:pPr>
      <w:bookmarkStart w:id="1" w:name="_heading=h.q4sgpymbj5u4"/>
      <w:bookmarkStart w:id="2" w:name="_heading=h.ef0fk8xus11h"/>
      <w:bookmarkEnd w:id="1"/>
      <w:bookmarkEnd w:id="2"/>
      <w:r w:rsidRPr="00D14721">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00" w:firstRow="0" w:lastRow="0" w:firstColumn="0" w:lastColumn="0" w:noHBand="0" w:noVBand="1"/>
      </w:tblPr>
      <w:tblGrid>
        <w:gridCol w:w="8780"/>
      </w:tblGrid>
      <w:tr w:rsidR="00821EE0" w:rsidRPr="00D14721" w14:paraId="6D988376" w14:textId="77777777" w:rsidTr="00821EE0">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70BED252" w14:textId="77777777" w:rsidR="00821EE0" w:rsidRPr="00D14721" w:rsidRDefault="00821EE0">
            <w:pPr>
              <w:rPr>
                <w:rFonts w:eastAsia="Arial" w:cs="Arial"/>
                <w:i/>
                <w:iCs/>
              </w:rPr>
            </w:pPr>
            <w:r w:rsidRPr="00D14721">
              <w:rPr>
                <w:i/>
              </w:rPr>
              <w:t>Après une analyse comparative, les parlements pourraient par exemple viser les objectifs suivants en ce qui concerne la diversité du personnel :</w:t>
            </w:r>
          </w:p>
          <w:p w14:paraId="63977BB6" w14:textId="77777777" w:rsidR="00821EE0" w:rsidRPr="00D14721" w:rsidRDefault="00821EE0"/>
          <w:p w14:paraId="4571F2EC" w14:textId="77777777" w:rsidR="00821EE0" w:rsidRPr="00D14721" w:rsidRDefault="00821EE0">
            <w:r w:rsidRPr="00D14721">
              <w:t>Le cadre juridique prévoit que le parlement est un employeur veillant à l'égalité des chances et garantissant à son personnel la non-discrimination en matière de recrutement, d</w:t>
            </w:r>
            <w:r w:rsidR="00A43D02" w:rsidRPr="00D14721">
              <w:t>e conditions d</w:t>
            </w:r>
            <w:r w:rsidRPr="00D14721">
              <w:t xml:space="preserve">'emploi et d'avancement de carrière. </w:t>
            </w:r>
          </w:p>
          <w:p w14:paraId="3F81209A" w14:textId="77777777" w:rsidR="00821EE0" w:rsidRPr="00D14721" w:rsidRDefault="00821EE0"/>
          <w:p w14:paraId="57CC77C1" w14:textId="77777777" w:rsidR="00821EE0" w:rsidRPr="00D14721" w:rsidRDefault="00821EE0">
            <w:r w:rsidRPr="00D14721">
              <w:t xml:space="preserve">Le parlement s'est doté d'une politique </w:t>
            </w:r>
            <w:r w:rsidR="00A43D02" w:rsidRPr="00D14721">
              <w:t xml:space="preserve">ou d’un plan </w:t>
            </w:r>
            <w:r w:rsidRPr="00D14721">
              <w:t xml:space="preserve">en faveur de l'égalité des sexes passant par un ensemble clair et détaillé d'objectifs et de processus </w:t>
            </w:r>
            <w:r w:rsidR="00A43D02" w:rsidRPr="00D14721">
              <w:t>destinés</w:t>
            </w:r>
            <w:r w:rsidRPr="00D14721">
              <w:t xml:space="preserve"> à atteindre la parité </w:t>
            </w:r>
            <w:r w:rsidR="00A43D02" w:rsidRPr="00D14721">
              <w:t xml:space="preserve">des </w:t>
            </w:r>
            <w:r w:rsidRPr="00D14721">
              <w:t>sexes dans l'administration parlementaire, y compris à des niveaux élevés de responsabilités. </w:t>
            </w:r>
          </w:p>
          <w:p w14:paraId="5A1B0FB6" w14:textId="77777777" w:rsidR="00821EE0" w:rsidRPr="00D14721" w:rsidRDefault="00821EE0"/>
          <w:p w14:paraId="5B36A8D5" w14:textId="77777777" w:rsidR="00821EE0" w:rsidRPr="00D14721" w:rsidRDefault="00821EE0">
            <w:pPr>
              <w:rPr>
                <w:rFonts w:eastAsia="Times New Roman" w:cs="Arial"/>
                <w:sz w:val="16"/>
              </w:rPr>
            </w:pPr>
            <w:r w:rsidRPr="00D14721">
              <w:lastRenderedPageBreak/>
              <w:t xml:space="preserve">Le parlement adopte des approches bienveillantes offrant à tous les groupes de la société, y compris les groupes sous-représentés, de réelles occasions de s'insérer dans l'administration parlementaire. Les politiques </w:t>
            </w:r>
            <w:r w:rsidR="009C4E69" w:rsidRPr="00D14721">
              <w:t xml:space="preserve">de gestion des </w:t>
            </w:r>
            <w:r w:rsidRPr="00D14721">
              <w:t>ressources humaines accordent une importance particulière au recrutement, à la fidélisation et à l'avancement des groupes sous-représentés.</w:t>
            </w:r>
          </w:p>
          <w:p w14:paraId="5AF7ECE9" w14:textId="77777777" w:rsidR="00821EE0" w:rsidRPr="00D14721" w:rsidRDefault="00821EE0"/>
          <w:p w14:paraId="7448984F" w14:textId="77777777" w:rsidR="00821EE0" w:rsidRPr="00D14721" w:rsidRDefault="00821EE0">
            <w:pPr>
              <w:rPr>
                <w:rFonts w:eastAsia="Arial" w:cs="Arial"/>
              </w:rPr>
            </w:pPr>
            <w:r w:rsidRPr="00D14721">
              <w:t>La diversité du personnel parlementaire, notamment l'équilibre entre les sexes, est régulièrement vérifiée. Les données relatives à la composition de l'administration parlementaire sont à la disposition du public. L'efficacité des politiques en faveur de l'égalité des sexes et de la diversité sont régulièrement vérifiées.</w:t>
            </w:r>
          </w:p>
          <w:p w14:paraId="2007FD98" w14:textId="77777777" w:rsidR="00821EE0" w:rsidRPr="00D14721" w:rsidRDefault="00821EE0"/>
        </w:tc>
      </w:tr>
    </w:tbl>
    <w:p w14:paraId="0EF83E81" w14:textId="77777777" w:rsidR="00821EE0" w:rsidRPr="00D14721" w:rsidRDefault="00821EE0" w:rsidP="00546C0C">
      <w:pPr>
        <w:pStyle w:val="section-title"/>
      </w:pPr>
      <w:r w:rsidRPr="00D14721">
        <w:lastRenderedPageBreak/>
        <w:t>Évaluation</w:t>
      </w:r>
    </w:p>
    <w:p w14:paraId="64829F6C" w14:textId="77777777" w:rsidR="00821EE0" w:rsidRPr="00D14721" w:rsidRDefault="00821EE0" w:rsidP="00821EE0">
      <w:pPr>
        <w:rPr>
          <w:rFonts w:eastAsia="Arial" w:cs="Arial"/>
        </w:rPr>
      </w:pPr>
      <w:r w:rsidRPr="00D14721">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022AD3CC" w14:textId="77777777" w:rsidR="00821EE0" w:rsidRPr="00D14721" w:rsidRDefault="00821EE0" w:rsidP="00821EE0"/>
    <w:p w14:paraId="400BD941" w14:textId="77777777" w:rsidR="00821EE0" w:rsidRPr="00D14721" w:rsidRDefault="00821EE0" w:rsidP="00821EE0">
      <w:pPr>
        <w:rPr>
          <w:rFonts w:eastAsia="Arial" w:cs="Arial"/>
        </w:rPr>
      </w:pPr>
      <w:r w:rsidRPr="00D14721">
        <w:t>Exemples d'éléments permettant d'étayer l'évaluation :</w:t>
      </w:r>
    </w:p>
    <w:p w14:paraId="219A6989" w14:textId="77777777" w:rsidR="00821EE0" w:rsidRPr="00D14721" w:rsidRDefault="00821EE0" w:rsidP="00821EE0"/>
    <w:p w14:paraId="3BCF6BDC" w14:textId="77777777" w:rsidR="00821EE0" w:rsidRPr="00D14721" w:rsidRDefault="00821EE0" w:rsidP="00821EE0">
      <w:pPr>
        <w:pStyle w:val="Paragraphedeliste"/>
        <w:numPr>
          <w:ilvl w:val="0"/>
          <w:numId w:val="17"/>
        </w:numPr>
        <w:rPr>
          <w:rFonts w:eastAsia="Arial" w:cs="Arial"/>
        </w:rPr>
      </w:pPr>
      <w:r w:rsidRPr="00D14721">
        <w:t>Dispositions du cadre juridique ou du règlement du parlement relatives à la non-discrimination dans le recrutement de personnel</w:t>
      </w:r>
    </w:p>
    <w:p w14:paraId="1F69AE84" w14:textId="77777777" w:rsidR="00821EE0" w:rsidRPr="00D14721" w:rsidRDefault="00821EE0" w:rsidP="00821EE0">
      <w:pPr>
        <w:pStyle w:val="Paragraphedeliste"/>
        <w:numPr>
          <w:ilvl w:val="0"/>
          <w:numId w:val="17"/>
        </w:numPr>
        <w:rPr>
          <w:rFonts w:eastAsia="Arial" w:cs="Arial"/>
        </w:rPr>
      </w:pPr>
      <w:r w:rsidRPr="00D14721">
        <w:t>Politiques d</w:t>
      </w:r>
      <w:r w:rsidR="00D836D7" w:rsidRPr="00D14721">
        <w:t xml:space="preserve">e gestion des </w:t>
      </w:r>
      <w:r w:rsidRPr="00D14721">
        <w:t>ressources humaines</w:t>
      </w:r>
      <w:r w:rsidR="00D836D7" w:rsidRPr="00D14721">
        <w:t xml:space="preserve"> du parlement</w:t>
      </w:r>
    </w:p>
    <w:p w14:paraId="3458BE64" w14:textId="77777777" w:rsidR="00821EE0" w:rsidRPr="00D14721" w:rsidRDefault="00821EE0" w:rsidP="00821EE0">
      <w:pPr>
        <w:pStyle w:val="Paragraphedeliste"/>
        <w:numPr>
          <w:ilvl w:val="0"/>
          <w:numId w:val="17"/>
        </w:numPr>
        <w:rPr>
          <w:rFonts w:eastAsia="Arial" w:cs="Arial"/>
        </w:rPr>
      </w:pPr>
      <w:r w:rsidRPr="00D14721">
        <w:t>Plan stratégique ou politique ou plans en faveur du genre du parlement dénotant un engagement en faveur de l'équilibre entre les sexes dans l'administration parlementaire</w:t>
      </w:r>
    </w:p>
    <w:p w14:paraId="4B8CE442" w14:textId="77777777" w:rsidR="00821EE0" w:rsidRPr="00D14721" w:rsidRDefault="00821EE0" w:rsidP="00821EE0">
      <w:pPr>
        <w:pStyle w:val="Paragraphedeliste"/>
        <w:numPr>
          <w:ilvl w:val="0"/>
          <w:numId w:val="17"/>
        </w:numPr>
        <w:rPr>
          <w:rFonts w:eastAsia="Arial" w:cs="Arial"/>
        </w:rPr>
      </w:pPr>
      <w:r w:rsidRPr="00D14721">
        <w:t xml:space="preserve">Listes des titulaires </w:t>
      </w:r>
      <w:r w:rsidR="00530599" w:rsidRPr="00D14721">
        <w:t xml:space="preserve">occupant ou ayant occupé dans un </w:t>
      </w:r>
      <w:r w:rsidR="00D836D7" w:rsidRPr="00D14721">
        <w:t xml:space="preserve">passé récent </w:t>
      </w:r>
      <w:r w:rsidRPr="00D14721">
        <w:t>de</w:t>
      </w:r>
      <w:r w:rsidR="00530599" w:rsidRPr="00D14721">
        <w:t>s</w:t>
      </w:r>
      <w:r w:rsidRPr="00D14721">
        <w:t xml:space="preserve"> postes à responsabilités dans l'administration parlementaire (secrétaire général, secrétaire général adjoint, chefs de services et leurs adjoints, assistants)</w:t>
      </w:r>
    </w:p>
    <w:p w14:paraId="771DA153" w14:textId="77777777" w:rsidR="00821EE0" w:rsidRPr="00D14721" w:rsidRDefault="00821EE0" w:rsidP="00821EE0">
      <w:pPr>
        <w:pStyle w:val="Paragraphedeliste"/>
        <w:numPr>
          <w:ilvl w:val="0"/>
          <w:numId w:val="17"/>
        </w:numPr>
        <w:rPr>
          <w:rFonts w:eastAsia="Arial" w:cs="Arial"/>
        </w:rPr>
      </w:pPr>
      <w:r w:rsidRPr="00D14721">
        <w:t>Descriptions et annonces de postes sur le site web du parlement et d'autres sites de recrutement</w:t>
      </w:r>
    </w:p>
    <w:p w14:paraId="46C2D5D4" w14:textId="77777777" w:rsidR="00821EE0" w:rsidRPr="00D14721" w:rsidRDefault="00821EE0" w:rsidP="00821EE0">
      <w:pPr>
        <w:pStyle w:val="Paragraphedeliste"/>
        <w:numPr>
          <w:ilvl w:val="0"/>
          <w:numId w:val="17"/>
        </w:numPr>
      </w:pPr>
      <w:r w:rsidRPr="00D14721">
        <w:t>Données chiffrées attestant de la diversité du personnel par comparaison avec la diversité de la société</w:t>
      </w:r>
    </w:p>
    <w:p w14:paraId="3B91F66A" w14:textId="77777777" w:rsidR="00821EE0" w:rsidRPr="00D14721" w:rsidRDefault="00821EE0" w:rsidP="00821EE0"/>
    <w:p w14:paraId="69A71686" w14:textId="77777777" w:rsidR="00821EE0" w:rsidRPr="00D14721" w:rsidRDefault="00821EE0" w:rsidP="00821EE0">
      <w:r w:rsidRPr="00D14721">
        <w:t>Le cas échéant, merci de bien vouloir communiquer des observations ou exemples supplémentaires pour étayer l'évaluation.</w:t>
      </w:r>
    </w:p>
    <w:p w14:paraId="4A180099" w14:textId="77777777" w:rsidR="00821EE0" w:rsidRPr="00D14721" w:rsidRDefault="00821EE0" w:rsidP="00821EE0">
      <w:pPr>
        <w:rPr>
          <w:rFonts w:eastAsia="Arial" w:cs="Arial"/>
        </w:rPr>
      </w:pPr>
    </w:p>
    <w:p w14:paraId="15DBD955" w14:textId="77777777" w:rsidR="00D2713B" w:rsidRPr="00D14721" w:rsidRDefault="00821EE0" w:rsidP="00D2713B">
      <w:pPr>
        <w:pStyle w:val="Titre4"/>
      </w:pPr>
      <w:r w:rsidRPr="00D14721">
        <w:t xml:space="preserve">Critère d'évaluation n° 1 : </w:t>
      </w:r>
      <w:bookmarkStart w:id="3" w:name="_heading=h.lnxbz9"/>
      <w:bookmarkStart w:id="4" w:name="_heading=h.588flm3vslug"/>
      <w:bookmarkStart w:id="5" w:name="_heading=h.cfk2mduzslq5"/>
      <w:bookmarkStart w:id="6" w:name="_heading=h.hqwzd0yttevb"/>
      <w:bookmarkStart w:id="7" w:name="_heading=h.8ky02uvbd22v"/>
      <w:bookmarkStart w:id="8" w:name="_heading=h.cg9wc9ugyk9i"/>
      <w:bookmarkStart w:id="9" w:name="_heading=h.i501stlfw7d6"/>
      <w:bookmarkEnd w:id="3"/>
      <w:bookmarkEnd w:id="4"/>
      <w:bookmarkEnd w:id="5"/>
      <w:bookmarkEnd w:id="6"/>
      <w:bookmarkEnd w:id="7"/>
      <w:bookmarkEnd w:id="8"/>
      <w:bookmarkEnd w:id="9"/>
      <w:r w:rsidR="00D2713B" w:rsidRPr="00D14721">
        <w:t>E</w:t>
      </w:r>
      <w:r w:rsidR="00A22ACD" w:rsidRPr="00D14721">
        <w:t>mployeur veillant à l’égalité des chances</w:t>
      </w:r>
      <w:r w:rsidR="00D2713B" w:rsidRPr="00D14721">
        <w:t xml:space="preserve"> </w:t>
      </w:r>
    </w:p>
    <w:p w14:paraId="2E2D4D00" w14:textId="77777777" w:rsidR="00D2713B" w:rsidRPr="00D14721" w:rsidRDefault="00A22ACD" w:rsidP="00D2713B">
      <w:pPr>
        <w:rPr>
          <w:rFonts w:eastAsia="Times New Roman" w:cs="Arial"/>
        </w:rPr>
      </w:pPr>
      <w:r w:rsidRPr="00D14721">
        <w:rPr>
          <w:rFonts w:eastAsia="Times New Roman" w:cs="Arial"/>
        </w:rPr>
        <w:t>Le cadre juridique prévoit que le parlement est un employeur veillant à l'égalité des chances et garantissant à son personnel la non-discrimination en matière de recrutement, de conditions d'emploi et d'avancement de carrière.</w:t>
      </w:r>
    </w:p>
    <w:p w14:paraId="1AEFB88B" w14:textId="77777777" w:rsidR="00A22ACD" w:rsidRPr="00D14721" w:rsidRDefault="00A22ACD" w:rsidP="00D2713B"/>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D2713B" w:rsidRPr="00D14721" w14:paraId="320DD0F9"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987612B" w14:textId="77777777" w:rsidR="00D2713B" w:rsidRPr="00D14721" w:rsidRDefault="00D2713B" w:rsidP="00156617">
            <w:pPr>
              <w:rPr>
                <w:rFonts w:cs="Arial"/>
              </w:rPr>
            </w:pPr>
            <w:r w:rsidRPr="00D14721">
              <w:t>N</w:t>
            </w:r>
            <w:r w:rsidR="00A22ACD" w:rsidRPr="00D14721">
              <w:t>éant</w:t>
            </w:r>
          </w:p>
          <w:p w14:paraId="59A7A30F" w14:textId="77777777" w:rsidR="00D2713B" w:rsidRPr="00D14721" w:rsidRDefault="00D2713B"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0F275AC8" w14:textId="77777777" w:rsidR="00D2713B" w:rsidRPr="00D14721" w:rsidRDefault="00A22ACD" w:rsidP="00156617">
            <w:pPr>
              <w:rPr>
                <w:rFonts w:cs="Arial"/>
              </w:rPr>
            </w:pPr>
            <w:r w:rsidRPr="00D14721">
              <w:t>Médiocre</w:t>
            </w:r>
            <w:r w:rsidR="00D2713B" w:rsidRPr="00D14721">
              <w:t xml:space="preserve"> </w:t>
            </w:r>
          </w:p>
          <w:p w14:paraId="73D26672" w14:textId="77777777" w:rsidR="00D2713B" w:rsidRPr="00D14721" w:rsidRDefault="00D2713B"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69B121AB" w14:textId="77777777" w:rsidR="00D2713B" w:rsidRPr="00D14721" w:rsidRDefault="00A22ACD" w:rsidP="00156617">
            <w:pPr>
              <w:rPr>
                <w:rFonts w:cs="Arial"/>
              </w:rPr>
            </w:pPr>
            <w:r w:rsidRPr="00D14721">
              <w:rPr>
                <w:rFonts w:cs="Arial"/>
              </w:rPr>
              <w:t>Moyen</w:t>
            </w:r>
          </w:p>
          <w:p w14:paraId="4B657982" w14:textId="77777777" w:rsidR="00D2713B" w:rsidRPr="00D14721" w:rsidRDefault="00D2713B"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0EF348A5" w14:textId="77777777" w:rsidR="00D2713B" w:rsidRPr="00D14721" w:rsidRDefault="00A22ACD" w:rsidP="00156617">
            <w:pPr>
              <w:rPr>
                <w:rFonts w:cs="Arial"/>
              </w:rPr>
            </w:pPr>
            <w:r w:rsidRPr="00D14721">
              <w:rPr>
                <w:rFonts w:cs="Arial"/>
              </w:rPr>
              <w:t>Bon</w:t>
            </w:r>
          </w:p>
          <w:p w14:paraId="2636A24F" w14:textId="77777777" w:rsidR="00D2713B" w:rsidRPr="00D14721" w:rsidRDefault="00D2713B"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18FD654D" w14:textId="77777777" w:rsidR="00D2713B" w:rsidRPr="00D14721" w:rsidRDefault="00A22ACD" w:rsidP="00156617">
            <w:pPr>
              <w:rPr>
                <w:rFonts w:cs="Arial"/>
              </w:rPr>
            </w:pPr>
            <w:r w:rsidRPr="00D14721">
              <w:t>Très bon</w:t>
            </w:r>
          </w:p>
          <w:p w14:paraId="4C240214" w14:textId="77777777" w:rsidR="00D2713B" w:rsidRPr="00D14721" w:rsidRDefault="00D2713B" w:rsidP="00156617">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1C70A191" w14:textId="77777777" w:rsidR="00D2713B" w:rsidRPr="00D14721" w:rsidRDefault="00D2713B" w:rsidP="00156617">
            <w:pPr>
              <w:rPr>
                <w:rFonts w:cs="Arial"/>
              </w:rPr>
            </w:pPr>
            <w:r w:rsidRPr="00D14721">
              <w:t>Excellent</w:t>
            </w:r>
          </w:p>
          <w:p w14:paraId="27F30B86" w14:textId="77777777" w:rsidR="00D2713B" w:rsidRPr="00D14721" w:rsidRDefault="00D2713B" w:rsidP="00156617">
            <w:r w:rsidRPr="00D14721">
              <w:rPr>
                <w:rFonts w:ascii="Segoe UI Symbol" w:hAnsi="Segoe UI Symbol" w:cs="Segoe UI Symbol"/>
              </w:rPr>
              <w:t>☐</w:t>
            </w:r>
          </w:p>
        </w:tc>
      </w:tr>
      <w:tr w:rsidR="00D2713B" w:rsidRPr="00D14721" w14:paraId="260333B2"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6AA43" w14:textId="77777777" w:rsidR="00D2713B" w:rsidRPr="00D14721" w:rsidRDefault="00A22ACD" w:rsidP="00156617">
            <w:r w:rsidRPr="00D14721">
              <w:t xml:space="preserve">Éléments à l'appui de l'évaluation : </w:t>
            </w:r>
          </w:p>
          <w:p w14:paraId="1B8EA2F6" w14:textId="77777777" w:rsidR="0078444C" w:rsidRPr="00D14721" w:rsidRDefault="0078444C" w:rsidP="00156617"/>
          <w:p w14:paraId="4A0E69F2" w14:textId="77777777" w:rsidR="00D2713B" w:rsidRPr="00D14721" w:rsidRDefault="00D2713B" w:rsidP="00156617"/>
        </w:tc>
      </w:tr>
    </w:tbl>
    <w:p w14:paraId="63E2F1C7" w14:textId="77777777" w:rsidR="00D2713B" w:rsidRPr="00D14721" w:rsidRDefault="00D2713B" w:rsidP="00D2713B">
      <w:bookmarkStart w:id="10" w:name="_heading=h.laukkc251hzn"/>
      <w:bookmarkStart w:id="11" w:name="_heading=h.ier5zfep9ym"/>
      <w:bookmarkEnd w:id="10"/>
      <w:bookmarkEnd w:id="11"/>
    </w:p>
    <w:p w14:paraId="14624F64" w14:textId="77777777" w:rsidR="00A22ACD" w:rsidRPr="00D14721" w:rsidRDefault="00A22ACD" w:rsidP="00A22ACD">
      <w:pPr>
        <w:rPr>
          <w:rFonts w:eastAsia="Malgun Gothic" w:cs="Times New Roman"/>
          <w:b/>
          <w:iCs/>
        </w:rPr>
      </w:pPr>
      <w:r w:rsidRPr="00D14721">
        <w:rPr>
          <w:rFonts w:eastAsia="Malgun Gothic" w:cs="Times New Roman"/>
          <w:b/>
          <w:iCs/>
        </w:rPr>
        <w:t>Critère d'évaluation n° 2 :  Politique ou plan en faveur de l'égalité des sexes</w:t>
      </w:r>
    </w:p>
    <w:p w14:paraId="1A8C589E" w14:textId="77777777" w:rsidR="00A22ACD" w:rsidRPr="00D14721" w:rsidRDefault="00A22ACD" w:rsidP="00A22ACD">
      <w:pPr>
        <w:rPr>
          <w:rFonts w:eastAsia="Malgun Gothic" w:cs="Times New Roman"/>
          <w:b/>
          <w:iCs/>
        </w:rPr>
      </w:pPr>
      <w:r w:rsidRPr="00D14721">
        <w:rPr>
          <w:rFonts w:eastAsia="Malgun Gothic" w:cs="Times New Roman"/>
          <w:b/>
          <w:iCs/>
        </w:rPr>
        <w:t xml:space="preserve">   </w:t>
      </w:r>
    </w:p>
    <w:p w14:paraId="15305C19" w14:textId="77777777" w:rsidR="00D2713B" w:rsidRPr="00D14721" w:rsidRDefault="00A22ACD" w:rsidP="00A22ACD">
      <w:r w:rsidRPr="00D14721">
        <w:rPr>
          <w:rFonts w:eastAsia="Malgun Gothic" w:cs="Times New Roman"/>
          <w:bCs/>
          <w:iCs/>
        </w:rPr>
        <w:t>Le parlement s'est doté d'une politique ou d’un plan en faveur de l'égalité des sexes passant par un ensemble clair et détaillé d'objectifs et de processus destinés à atteindre la parité des sexes dans l'administration parlementaire, y compris à des niveaux élevés de responsabilités.</w:t>
      </w:r>
    </w:p>
    <w:p w14:paraId="7B49F57C" w14:textId="77777777" w:rsidR="00D2713B" w:rsidRPr="00D14721" w:rsidRDefault="00D2713B" w:rsidP="00D2713B"/>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6E0667" w:rsidRPr="00D14721" w14:paraId="72210E75"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F5B7E0C" w14:textId="77777777" w:rsidR="006E0667" w:rsidRPr="00D14721" w:rsidRDefault="006E0667" w:rsidP="006E0667">
            <w:pPr>
              <w:rPr>
                <w:rFonts w:cs="Arial"/>
              </w:rPr>
            </w:pPr>
            <w:r w:rsidRPr="00D14721">
              <w:lastRenderedPageBreak/>
              <w:t>Néant</w:t>
            </w:r>
          </w:p>
          <w:p w14:paraId="53FF70B1" w14:textId="77777777" w:rsidR="006E0667" w:rsidRPr="00D14721" w:rsidRDefault="006E0667" w:rsidP="006E066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09932A71" w14:textId="77777777" w:rsidR="006E0667" w:rsidRPr="00D14721" w:rsidRDefault="006E0667" w:rsidP="006E0667">
            <w:pPr>
              <w:rPr>
                <w:rFonts w:cs="Arial"/>
              </w:rPr>
            </w:pPr>
            <w:r w:rsidRPr="00D14721">
              <w:t xml:space="preserve">Médiocre </w:t>
            </w:r>
          </w:p>
          <w:p w14:paraId="6DCFF95B" w14:textId="77777777" w:rsidR="006E0667" w:rsidRPr="00D14721" w:rsidRDefault="006E0667" w:rsidP="006E066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5E9DFCC3" w14:textId="77777777" w:rsidR="006E0667" w:rsidRPr="00D14721" w:rsidRDefault="006E0667" w:rsidP="006E0667">
            <w:pPr>
              <w:rPr>
                <w:rFonts w:cs="Arial"/>
              </w:rPr>
            </w:pPr>
            <w:r w:rsidRPr="00D14721">
              <w:rPr>
                <w:rFonts w:cs="Arial"/>
              </w:rPr>
              <w:t>Moyen</w:t>
            </w:r>
          </w:p>
          <w:p w14:paraId="6DF6A379" w14:textId="77777777" w:rsidR="006E0667" w:rsidRPr="00D14721" w:rsidRDefault="006E0667" w:rsidP="006E066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29EA429C" w14:textId="77777777" w:rsidR="006E0667" w:rsidRPr="00D14721" w:rsidRDefault="006E0667" w:rsidP="006E0667">
            <w:pPr>
              <w:rPr>
                <w:rFonts w:cs="Arial"/>
              </w:rPr>
            </w:pPr>
            <w:r w:rsidRPr="00D14721">
              <w:rPr>
                <w:rFonts w:cs="Arial"/>
              </w:rPr>
              <w:t>Bon</w:t>
            </w:r>
          </w:p>
          <w:p w14:paraId="1B0A12A5" w14:textId="77777777" w:rsidR="006E0667" w:rsidRPr="00D14721" w:rsidRDefault="006E0667" w:rsidP="006E066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6C7A11B7" w14:textId="77777777" w:rsidR="006E0667" w:rsidRPr="00D14721" w:rsidRDefault="006E0667" w:rsidP="006E0667">
            <w:pPr>
              <w:rPr>
                <w:rFonts w:cs="Arial"/>
              </w:rPr>
            </w:pPr>
            <w:r w:rsidRPr="00D14721">
              <w:t>Très bon</w:t>
            </w:r>
          </w:p>
          <w:p w14:paraId="22068827" w14:textId="77777777" w:rsidR="006E0667" w:rsidRPr="00D14721" w:rsidRDefault="006E0667" w:rsidP="006E0667">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6FA1FE95" w14:textId="77777777" w:rsidR="006E0667" w:rsidRPr="00D14721" w:rsidRDefault="006E0667" w:rsidP="006E0667">
            <w:pPr>
              <w:rPr>
                <w:rFonts w:cs="Arial"/>
              </w:rPr>
            </w:pPr>
            <w:r w:rsidRPr="00D14721">
              <w:t>Excellent</w:t>
            </w:r>
          </w:p>
          <w:p w14:paraId="34B07FBC" w14:textId="77777777" w:rsidR="006E0667" w:rsidRPr="00D14721" w:rsidRDefault="006E0667" w:rsidP="006E0667">
            <w:r w:rsidRPr="00D14721">
              <w:rPr>
                <w:rFonts w:ascii="Segoe UI Symbol" w:hAnsi="Segoe UI Symbol" w:cs="Segoe UI Symbol"/>
              </w:rPr>
              <w:t>☐</w:t>
            </w:r>
          </w:p>
        </w:tc>
      </w:tr>
      <w:tr w:rsidR="00D2713B" w:rsidRPr="00D14721" w14:paraId="47B82DA3"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4A36C" w14:textId="77777777" w:rsidR="00D2713B" w:rsidRPr="00D14721" w:rsidRDefault="006E0667" w:rsidP="00156617">
            <w:r w:rsidRPr="00D14721">
              <w:t xml:space="preserve">Éléments à l'appui de l'évaluation : </w:t>
            </w:r>
          </w:p>
          <w:p w14:paraId="736E6F6D" w14:textId="77777777" w:rsidR="0078444C" w:rsidRPr="00D14721" w:rsidRDefault="0078444C" w:rsidP="00156617"/>
          <w:p w14:paraId="6EB598EA" w14:textId="77777777" w:rsidR="00D2713B" w:rsidRPr="00D14721" w:rsidRDefault="00D2713B" w:rsidP="00156617"/>
        </w:tc>
      </w:tr>
    </w:tbl>
    <w:p w14:paraId="7FBB9DF4" w14:textId="77777777" w:rsidR="00D2713B" w:rsidRPr="00D14721" w:rsidRDefault="00CA57B9" w:rsidP="00D2713B">
      <w:pPr>
        <w:pStyle w:val="Titre4"/>
      </w:pPr>
      <w:r w:rsidRPr="00D14721">
        <w:t>Critère d’évaluation n° </w:t>
      </w:r>
      <w:r w:rsidR="00D2713B" w:rsidRPr="00D14721">
        <w:t>3</w:t>
      </w:r>
      <w:r w:rsidRPr="00D14721">
        <w:t> </w:t>
      </w:r>
      <w:r w:rsidR="00D2713B" w:rsidRPr="00D14721">
        <w:t xml:space="preserve">: </w:t>
      </w:r>
      <w:r w:rsidRPr="00D14721">
        <w:t>Approches bienveillantes en matière de diversité du personnel</w:t>
      </w:r>
    </w:p>
    <w:p w14:paraId="5BA78E61" w14:textId="77777777" w:rsidR="00D2713B" w:rsidRPr="00D14721" w:rsidRDefault="00CA57B9" w:rsidP="00D2713B">
      <w:pPr>
        <w:rPr>
          <w:rFonts w:eastAsia="Times New Roman" w:cs="Arial"/>
          <w:sz w:val="16"/>
        </w:rPr>
      </w:pPr>
      <w:r w:rsidRPr="00D14721">
        <w:t xml:space="preserve">Le parlement adopte des approches bienveillantes offrant à tous les groupes de la société, y compris les groupes sous-représentés, de réelles occasions de s'insérer dans l'administration parlementaire. Les politiques </w:t>
      </w:r>
      <w:r w:rsidR="00790D70" w:rsidRPr="00D14721">
        <w:t xml:space="preserve">de gestion des </w:t>
      </w:r>
      <w:r w:rsidRPr="00D14721">
        <w:t>ressources humaines accordent une importance particulière au recrutement, à la fidélisation et à l'avancement des groupes sous-représentés.</w:t>
      </w:r>
    </w:p>
    <w:p w14:paraId="460DF914" w14:textId="77777777" w:rsidR="00D2713B" w:rsidRPr="00D14721" w:rsidRDefault="00D2713B" w:rsidP="00D2713B"/>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78444C" w:rsidRPr="00D14721" w14:paraId="4D99854F"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1945F1" w14:textId="77777777" w:rsidR="0078444C" w:rsidRPr="00D14721" w:rsidRDefault="0078444C" w:rsidP="0078444C">
            <w:pPr>
              <w:rPr>
                <w:rFonts w:cs="Arial"/>
              </w:rPr>
            </w:pPr>
            <w:r w:rsidRPr="00D14721">
              <w:t>Néant</w:t>
            </w:r>
          </w:p>
          <w:p w14:paraId="619CE193" w14:textId="77777777" w:rsidR="0078444C" w:rsidRPr="00D14721" w:rsidRDefault="0078444C" w:rsidP="0078444C">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5A86B8FD" w14:textId="77777777" w:rsidR="0078444C" w:rsidRPr="00D14721" w:rsidRDefault="0078444C" w:rsidP="0078444C">
            <w:pPr>
              <w:rPr>
                <w:rFonts w:cs="Arial"/>
              </w:rPr>
            </w:pPr>
            <w:r w:rsidRPr="00D14721">
              <w:t xml:space="preserve">Médiocre </w:t>
            </w:r>
          </w:p>
          <w:p w14:paraId="7D73B406" w14:textId="77777777" w:rsidR="0078444C" w:rsidRPr="00D14721" w:rsidRDefault="0078444C" w:rsidP="0078444C">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5ACE3C85" w14:textId="77777777" w:rsidR="0078444C" w:rsidRPr="00D14721" w:rsidRDefault="0078444C" w:rsidP="0078444C">
            <w:pPr>
              <w:rPr>
                <w:rFonts w:cs="Arial"/>
              </w:rPr>
            </w:pPr>
            <w:r w:rsidRPr="00D14721">
              <w:rPr>
                <w:rFonts w:cs="Arial"/>
              </w:rPr>
              <w:t>Moyen</w:t>
            </w:r>
          </w:p>
          <w:p w14:paraId="34F49B59" w14:textId="77777777" w:rsidR="0078444C" w:rsidRPr="00D14721" w:rsidRDefault="0078444C" w:rsidP="0078444C">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26F887CA" w14:textId="77777777" w:rsidR="0078444C" w:rsidRPr="00D14721" w:rsidRDefault="0078444C" w:rsidP="0078444C">
            <w:pPr>
              <w:rPr>
                <w:rFonts w:cs="Arial"/>
              </w:rPr>
            </w:pPr>
            <w:r w:rsidRPr="00D14721">
              <w:rPr>
                <w:rFonts w:cs="Arial"/>
              </w:rPr>
              <w:t>Bon</w:t>
            </w:r>
          </w:p>
          <w:p w14:paraId="277E1DC9" w14:textId="77777777" w:rsidR="0078444C" w:rsidRPr="00D14721" w:rsidRDefault="0078444C" w:rsidP="0078444C">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2C4973D9" w14:textId="77777777" w:rsidR="0078444C" w:rsidRPr="00D14721" w:rsidRDefault="0078444C" w:rsidP="0078444C">
            <w:pPr>
              <w:rPr>
                <w:rFonts w:cs="Arial"/>
              </w:rPr>
            </w:pPr>
            <w:r w:rsidRPr="00D14721">
              <w:t>Très bon</w:t>
            </w:r>
          </w:p>
          <w:p w14:paraId="18EE1EC8" w14:textId="77777777" w:rsidR="0078444C" w:rsidRPr="00D14721" w:rsidRDefault="0078444C" w:rsidP="0078444C">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021F950F" w14:textId="77777777" w:rsidR="0078444C" w:rsidRPr="00D14721" w:rsidRDefault="0078444C" w:rsidP="0078444C">
            <w:pPr>
              <w:rPr>
                <w:rFonts w:cs="Arial"/>
              </w:rPr>
            </w:pPr>
            <w:r w:rsidRPr="00D14721">
              <w:t>Excellent</w:t>
            </w:r>
          </w:p>
          <w:p w14:paraId="10A60EFC" w14:textId="77777777" w:rsidR="0078444C" w:rsidRPr="00D14721" w:rsidRDefault="0078444C" w:rsidP="0078444C">
            <w:r w:rsidRPr="00D14721">
              <w:rPr>
                <w:rFonts w:ascii="Segoe UI Symbol" w:hAnsi="Segoe UI Symbol" w:cs="Segoe UI Symbol"/>
              </w:rPr>
              <w:t>☐</w:t>
            </w:r>
          </w:p>
        </w:tc>
      </w:tr>
      <w:tr w:rsidR="00D2713B" w:rsidRPr="00D14721" w14:paraId="3FFB61D7"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9BF52E" w14:textId="77777777" w:rsidR="0078444C" w:rsidRPr="00D14721" w:rsidRDefault="0078444C" w:rsidP="0078444C">
            <w:r w:rsidRPr="00D14721">
              <w:t xml:space="preserve">Éléments à l'appui de l'évaluation : </w:t>
            </w:r>
          </w:p>
          <w:p w14:paraId="1B199225" w14:textId="77777777" w:rsidR="00D2713B" w:rsidRPr="00D14721" w:rsidRDefault="00D2713B" w:rsidP="00156617"/>
          <w:p w14:paraId="3F086444" w14:textId="77777777" w:rsidR="00D2713B" w:rsidRPr="00D14721" w:rsidRDefault="00D2713B" w:rsidP="00156617"/>
        </w:tc>
      </w:tr>
    </w:tbl>
    <w:p w14:paraId="29E5467B" w14:textId="77777777" w:rsidR="00D2713B" w:rsidRPr="00D14721" w:rsidRDefault="00D2713B" w:rsidP="00D2713B">
      <w:bookmarkStart w:id="12" w:name="_heading=h.oizq6a4ryx15"/>
      <w:bookmarkEnd w:id="12"/>
    </w:p>
    <w:p w14:paraId="5BCD9A33" w14:textId="77777777" w:rsidR="00D2713B" w:rsidRPr="00D14721" w:rsidRDefault="00CA57B9" w:rsidP="00D2713B">
      <w:pPr>
        <w:pStyle w:val="Titre4"/>
      </w:pPr>
      <w:r w:rsidRPr="00D14721">
        <w:t>Critère d’évaluation n° </w:t>
      </w:r>
      <w:r w:rsidR="00D2713B" w:rsidRPr="00D14721">
        <w:t>4</w:t>
      </w:r>
      <w:r w:rsidRPr="00D14721">
        <w:t> </w:t>
      </w:r>
      <w:r w:rsidR="00D2713B" w:rsidRPr="00D14721">
        <w:t xml:space="preserve">: </w:t>
      </w:r>
      <w:r w:rsidRPr="00D14721">
        <w:t>Suivi</w:t>
      </w:r>
    </w:p>
    <w:p w14:paraId="79A1753C" w14:textId="77777777" w:rsidR="00D2713B" w:rsidRPr="00D14721" w:rsidRDefault="00CA57B9" w:rsidP="00D2713B">
      <w:r w:rsidRPr="00D14721">
        <w:t xml:space="preserve">La diversité du personnel parlementaire, notamment l'équilibre entre les sexes, est régulièrement vérifiée. Les données relatives à la composition de l'administration parlementaire sont à la disposition du public. L'efficacité des politiques en faveur de l'égalité des sexes et de la diversité est régulièrement vérifiée.   </w:t>
      </w:r>
    </w:p>
    <w:p w14:paraId="421B6F6A" w14:textId="77777777" w:rsidR="00CA57B9" w:rsidRPr="00D14721" w:rsidRDefault="00CA57B9" w:rsidP="00D2713B"/>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78444C" w:rsidRPr="00D14721" w14:paraId="5514447B"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18E0FA6" w14:textId="77777777" w:rsidR="0078444C" w:rsidRPr="00D14721" w:rsidRDefault="0078444C" w:rsidP="0078444C">
            <w:pPr>
              <w:rPr>
                <w:rFonts w:cs="Arial"/>
              </w:rPr>
            </w:pPr>
            <w:r w:rsidRPr="00D14721">
              <w:t>Néant</w:t>
            </w:r>
          </w:p>
          <w:p w14:paraId="31FB1A7D" w14:textId="77777777" w:rsidR="0078444C" w:rsidRPr="00D14721" w:rsidRDefault="0078444C" w:rsidP="0078444C">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0933F652" w14:textId="77777777" w:rsidR="0078444C" w:rsidRPr="00D14721" w:rsidRDefault="0078444C" w:rsidP="0078444C">
            <w:pPr>
              <w:rPr>
                <w:rFonts w:cs="Arial"/>
              </w:rPr>
            </w:pPr>
            <w:r w:rsidRPr="00D14721">
              <w:t xml:space="preserve">Médiocre </w:t>
            </w:r>
          </w:p>
          <w:p w14:paraId="297D5127" w14:textId="77777777" w:rsidR="0078444C" w:rsidRPr="00D14721" w:rsidRDefault="0078444C" w:rsidP="0078444C">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479F02D5" w14:textId="77777777" w:rsidR="0078444C" w:rsidRPr="00D14721" w:rsidRDefault="0078444C" w:rsidP="0078444C">
            <w:pPr>
              <w:rPr>
                <w:rFonts w:cs="Arial"/>
              </w:rPr>
            </w:pPr>
            <w:r w:rsidRPr="00D14721">
              <w:rPr>
                <w:rFonts w:cs="Arial"/>
              </w:rPr>
              <w:t>Moyen</w:t>
            </w:r>
          </w:p>
          <w:p w14:paraId="3A3C9207" w14:textId="77777777" w:rsidR="0078444C" w:rsidRPr="00D14721" w:rsidRDefault="0078444C" w:rsidP="0078444C">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40BAD88E" w14:textId="77777777" w:rsidR="0078444C" w:rsidRPr="00D14721" w:rsidRDefault="0078444C" w:rsidP="0078444C">
            <w:pPr>
              <w:rPr>
                <w:rFonts w:cs="Arial"/>
              </w:rPr>
            </w:pPr>
            <w:r w:rsidRPr="00D14721">
              <w:rPr>
                <w:rFonts w:cs="Arial"/>
              </w:rPr>
              <w:t>Bon</w:t>
            </w:r>
          </w:p>
          <w:p w14:paraId="5B129A66" w14:textId="77777777" w:rsidR="0078444C" w:rsidRPr="00D14721" w:rsidRDefault="0078444C" w:rsidP="0078444C">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73BA1A96" w14:textId="77777777" w:rsidR="0078444C" w:rsidRPr="00D14721" w:rsidRDefault="0078444C" w:rsidP="0078444C">
            <w:pPr>
              <w:rPr>
                <w:rFonts w:cs="Arial"/>
              </w:rPr>
            </w:pPr>
            <w:r w:rsidRPr="00D14721">
              <w:t>Très bon</w:t>
            </w:r>
          </w:p>
          <w:p w14:paraId="459ADD09" w14:textId="77777777" w:rsidR="0078444C" w:rsidRPr="00D14721" w:rsidRDefault="0078444C" w:rsidP="0078444C">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611E7583" w14:textId="77777777" w:rsidR="0078444C" w:rsidRPr="00D14721" w:rsidRDefault="0078444C" w:rsidP="0078444C">
            <w:pPr>
              <w:rPr>
                <w:rFonts w:cs="Arial"/>
              </w:rPr>
            </w:pPr>
            <w:r w:rsidRPr="00D14721">
              <w:t>Excellent</w:t>
            </w:r>
          </w:p>
          <w:p w14:paraId="688F1B39" w14:textId="77777777" w:rsidR="0078444C" w:rsidRPr="00D14721" w:rsidRDefault="0078444C" w:rsidP="0078444C">
            <w:r w:rsidRPr="00D14721">
              <w:rPr>
                <w:rFonts w:ascii="Segoe UI Symbol" w:hAnsi="Segoe UI Symbol" w:cs="Segoe UI Symbol"/>
              </w:rPr>
              <w:t>☐</w:t>
            </w:r>
          </w:p>
        </w:tc>
      </w:tr>
      <w:tr w:rsidR="00D2713B" w:rsidRPr="00D14721" w14:paraId="680DD963"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3F64F" w14:textId="77777777" w:rsidR="0078444C" w:rsidRPr="00D14721" w:rsidRDefault="0078444C" w:rsidP="0078444C">
            <w:r w:rsidRPr="00D14721">
              <w:t xml:space="preserve">Éléments à l'appui de l'évaluation : </w:t>
            </w:r>
          </w:p>
          <w:p w14:paraId="185CDD17" w14:textId="77777777" w:rsidR="00D2713B" w:rsidRPr="00D14721" w:rsidRDefault="00D2713B" w:rsidP="00156617"/>
          <w:p w14:paraId="3D9A6B29" w14:textId="77777777" w:rsidR="00D2713B" w:rsidRPr="00D14721" w:rsidRDefault="00D2713B" w:rsidP="00156617"/>
        </w:tc>
      </w:tr>
    </w:tbl>
    <w:p w14:paraId="64BB73D3" w14:textId="77777777" w:rsidR="00D2713B" w:rsidRPr="00D14721" w:rsidRDefault="00D2713B" w:rsidP="00546C0C">
      <w:pPr>
        <w:pStyle w:val="section-title"/>
      </w:pPr>
      <w:r w:rsidRPr="00D14721">
        <w:t>R</w:t>
      </w:r>
      <w:r w:rsidR="00E15178" w:rsidRPr="00D14721">
        <w:t>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780"/>
      </w:tblGrid>
      <w:tr w:rsidR="00D2713B" w:rsidRPr="00D14721" w14:paraId="5CEF0DA6" w14:textId="77777777" w:rsidTr="0015661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6574497" w14:textId="77777777" w:rsidR="00D2713B" w:rsidRPr="00D14721" w:rsidRDefault="00E15178" w:rsidP="00156617">
            <w:r w:rsidRPr="00D14721">
              <w:rPr>
                <w:i/>
                <w:color w:val="000000"/>
              </w:rPr>
              <w:t>Dans cet encadré, notez les recommandations et les idées visant à renforcer les règles et la pratique dans ce domaine.</w:t>
            </w:r>
          </w:p>
        </w:tc>
      </w:tr>
    </w:tbl>
    <w:p w14:paraId="59EB8D5E" w14:textId="77777777" w:rsidR="00E15178" w:rsidRPr="00D14721" w:rsidRDefault="00D2713B" w:rsidP="00546C0C">
      <w:pPr>
        <w:pStyle w:val="section-title"/>
      </w:pPr>
      <w:r w:rsidRPr="00D14721">
        <w:t xml:space="preserve">Sources </w:t>
      </w:r>
      <w:r w:rsidR="00E008D2" w:rsidRPr="00D14721">
        <w:t>et autre documentation</w:t>
      </w:r>
    </w:p>
    <w:p w14:paraId="3C9B36DA" w14:textId="77777777" w:rsidR="00D2713B" w:rsidRPr="00D14721" w:rsidRDefault="00D2713B" w:rsidP="00D2713B">
      <w:pPr>
        <w:pStyle w:val="Paragraphedeliste"/>
        <w:rPr>
          <w:rFonts w:eastAsia="Arial" w:cs="Arial"/>
          <w:color w:val="000000"/>
        </w:rPr>
      </w:pPr>
      <w:r w:rsidRPr="00D14721">
        <w:rPr>
          <w:color w:val="000000"/>
        </w:rPr>
        <w:t xml:space="preserve">Association </w:t>
      </w:r>
      <w:r w:rsidR="00E15178" w:rsidRPr="00D14721">
        <w:rPr>
          <w:color w:val="000000"/>
        </w:rPr>
        <w:t>des Secrétaires généraux des parlements (ASGP),</w:t>
      </w:r>
      <w:r w:rsidRPr="00D14721">
        <w:rPr>
          <w:color w:val="000000"/>
        </w:rPr>
        <w:t xml:space="preserve"> </w:t>
      </w:r>
      <w:hyperlink r:id="rId10">
        <w:r w:rsidRPr="00D14721">
          <w:rPr>
            <w:u w:val="single"/>
          </w:rPr>
          <w:t>Princi</w:t>
        </w:r>
        <w:r w:rsidR="00E15178" w:rsidRPr="00D14721">
          <w:rPr>
            <w:u w:val="single"/>
          </w:rPr>
          <w:t>p</w:t>
        </w:r>
        <w:r w:rsidRPr="00D14721">
          <w:rPr>
            <w:u w:val="single"/>
          </w:rPr>
          <w:t xml:space="preserve">es </w:t>
        </w:r>
        <w:r w:rsidR="00E15178" w:rsidRPr="00D14721">
          <w:rPr>
            <w:u w:val="single"/>
          </w:rPr>
          <w:t>pour le recrutement et la gestion des carrières du personnel de l’administration parlementaire</w:t>
        </w:r>
      </w:hyperlink>
      <w:r w:rsidRPr="00D14721">
        <w:rPr>
          <w:color w:val="000000"/>
        </w:rPr>
        <w:t xml:space="preserve"> (2014).</w:t>
      </w:r>
    </w:p>
    <w:p w14:paraId="29940BA9" w14:textId="4FC38BCD" w:rsidR="00D2713B" w:rsidRPr="004966DC" w:rsidRDefault="00D2713B" w:rsidP="00D2713B">
      <w:pPr>
        <w:pStyle w:val="Paragraphedeliste"/>
        <w:rPr>
          <w:rFonts w:eastAsia="Arial" w:cs="Arial"/>
          <w:color w:val="000000"/>
          <w:lang w:val="en-US"/>
        </w:rPr>
      </w:pPr>
      <w:r w:rsidRPr="004966DC">
        <w:rPr>
          <w:color w:val="000000"/>
          <w:lang w:val="en-US"/>
        </w:rPr>
        <w:t xml:space="preserve">Association </w:t>
      </w:r>
      <w:r w:rsidR="00E15178" w:rsidRPr="004966DC">
        <w:rPr>
          <w:color w:val="000000"/>
          <w:lang w:val="en-US"/>
        </w:rPr>
        <w:t xml:space="preserve">parlementaire du Commonwealth </w:t>
      </w:r>
      <w:r w:rsidRPr="004966DC">
        <w:rPr>
          <w:color w:val="000000"/>
          <w:lang w:val="en-US"/>
        </w:rPr>
        <w:t>(A</w:t>
      </w:r>
      <w:r w:rsidR="00E15178" w:rsidRPr="004966DC">
        <w:rPr>
          <w:color w:val="000000"/>
          <w:lang w:val="en-US"/>
        </w:rPr>
        <w:t>PC</w:t>
      </w:r>
      <w:r w:rsidRPr="004966DC">
        <w:rPr>
          <w:color w:val="000000"/>
          <w:lang w:val="en-US"/>
        </w:rPr>
        <w:t xml:space="preserve">), </w:t>
      </w:r>
      <w:hyperlink r:id="rId11">
        <w:r w:rsidRPr="004966DC">
          <w:rPr>
            <w:color w:val="0563C1"/>
            <w:u w:val="single"/>
            <w:lang w:val="en-US"/>
          </w:rPr>
          <w:t>Recommended Benchmarks for Democratic Legislatures</w:t>
        </w:r>
      </w:hyperlink>
      <w:r w:rsidRPr="004966DC">
        <w:rPr>
          <w:color w:val="000000"/>
          <w:lang w:val="en-US"/>
        </w:rPr>
        <w:t xml:space="preserve"> (2018).</w:t>
      </w:r>
    </w:p>
    <w:p w14:paraId="2F900A4B" w14:textId="77777777" w:rsidR="00D2713B" w:rsidRPr="00D14721" w:rsidRDefault="00D2713B" w:rsidP="00D2713B">
      <w:pPr>
        <w:pStyle w:val="Paragraphedeliste"/>
        <w:rPr>
          <w:rFonts w:eastAsia="Arial" w:cs="Arial"/>
          <w:color w:val="000000"/>
        </w:rPr>
      </w:pPr>
      <w:r w:rsidRPr="00D14721">
        <w:rPr>
          <w:color w:val="000000"/>
        </w:rPr>
        <w:t>Parl</w:t>
      </w:r>
      <w:r w:rsidR="00E15178" w:rsidRPr="00D14721">
        <w:rPr>
          <w:color w:val="000000"/>
        </w:rPr>
        <w:t>e</w:t>
      </w:r>
      <w:r w:rsidRPr="00D14721">
        <w:rPr>
          <w:color w:val="000000"/>
        </w:rPr>
        <w:t>ment</w:t>
      </w:r>
      <w:r w:rsidR="00E15178" w:rsidRPr="00D14721">
        <w:rPr>
          <w:color w:val="000000"/>
        </w:rPr>
        <w:t xml:space="preserve"> européen</w:t>
      </w:r>
      <w:r w:rsidRPr="00D14721">
        <w:rPr>
          <w:color w:val="000000"/>
        </w:rPr>
        <w:t xml:space="preserve">, </w:t>
      </w:r>
      <w:hyperlink r:id="rId12">
        <w:r w:rsidR="00D40129" w:rsidRPr="00D14721">
          <w:rPr>
            <w:i/>
            <w:color w:val="0563C1"/>
            <w:u w:val="single"/>
          </w:rPr>
          <w:t>Égalité des genres : que font les parlements de l’Union européenne</w:t>
        </w:r>
      </w:hyperlink>
      <w:r w:rsidRPr="00D14721">
        <w:rPr>
          <w:i/>
          <w:color w:val="000000"/>
        </w:rPr>
        <w:t xml:space="preserve"> </w:t>
      </w:r>
      <w:r w:rsidRPr="00D14721">
        <w:rPr>
          <w:color w:val="000000"/>
        </w:rPr>
        <w:t>(2012).</w:t>
      </w:r>
    </w:p>
    <w:p w14:paraId="43E7A60E" w14:textId="77777777" w:rsidR="00D2713B" w:rsidRPr="00D14721" w:rsidRDefault="00D2713B" w:rsidP="00D2713B">
      <w:pPr>
        <w:pStyle w:val="Paragraphedeliste"/>
        <w:rPr>
          <w:rFonts w:eastAsia="Arial" w:cs="Arial"/>
          <w:color w:val="000000"/>
        </w:rPr>
      </w:pPr>
      <w:r w:rsidRPr="00D14721">
        <w:rPr>
          <w:color w:val="000000"/>
        </w:rPr>
        <w:lastRenderedPageBreak/>
        <w:t xml:space="preserve">Union </w:t>
      </w:r>
      <w:r w:rsidR="00E15178" w:rsidRPr="00D14721">
        <w:rPr>
          <w:color w:val="000000"/>
        </w:rPr>
        <w:t xml:space="preserve">Interparlementaire </w:t>
      </w:r>
      <w:r w:rsidRPr="00D14721">
        <w:rPr>
          <w:color w:val="000000"/>
        </w:rPr>
        <w:t>(U</w:t>
      </w:r>
      <w:r w:rsidR="00E15178" w:rsidRPr="00D14721">
        <w:rPr>
          <w:color w:val="000000"/>
        </w:rPr>
        <w:t>IP</w:t>
      </w:r>
      <w:r w:rsidRPr="00D14721">
        <w:rPr>
          <w:color w:val="000000"/>
        </w:rPr>
        <w:t xml:space="preserve">), </w:t>
      </w:r>
      <w:hyperlink r:id="rId13">
        <w:r w:rsidR="00E15178" w:rsidRPr="00D14721">
          <w:rPr>
            <w:i/>
            <w:color w:val="0563C1"/>
            <w:u w:val="single"/>
          </w:rPr>
          <w:t>Parlements sensibles au genre : Étude mondiale des bonnes pratiques</w:t>
        </w:r>
      </w:hyperlink>
      <w:r w:rsidRPr="00D14721">
        <w:rPr>
          <w:color w:val="000000"/>
        </w:rPr>
        <w:t xml:space="preserve"> (2011). </w:t>
      </w:r>
    </w:p>
    <w:p w14:paraId="28DA3384" w14:textId="77777777" w:rsidR="00D2713B" w:rsidRPr="00D14721" w:rsidRDefault="00D2713B" w:rsidP="00D2713B">
      <w:pPr>
        <w:pStyle w:val="Paragraphedeliste"/>
        <w:rPr>
          <w:rFonts w:eastAsia="Arial" w:cs="Arial"/>
          <w:color w:val="000000"/>
        </w:rPr>
      </w:pPr>
      <w:r w:rsidRPr="00D14721">
        <w:rPr>
          <w:color w:val="000000"/>
        </w:rPr>
        <w:t>U</w:t>
      </w:r>
      <w:r w:rsidR="00E15178" w:rsidRPr="00D14721">
        <w:rPr>
          <w:color w:val="000000"/>
        </w:rPr>
        <w:t>IP</w:t>
      </w:r>
      <w:r w:rsidRPr="00D14721">
        <w:rPr>
          <w:color w:val="000000"/>
        </w:rPr>
        <w:t xml:space="preserve">, </w:t>
      </w:r>
      <w:hyperlink r:id="rId14">
        <w:r w:rsidR="00E15178" w:rsidRPr="00D14721">
          <w:rPr>
            <w:i/>
            <w:color w:val="0563C1"/>
            <w:u w:val="single"/>
          </w:rPr>
          <w:t>Parlements : évaluer la sensibilité au genre </w:t>
        </w:r>
        <w:r w:rsidRPr="00D14721">
          <w:rPr>
            <w:i/>
            <w:color w:val="0563C1"/>
            <w:u w:val="single"/>
          </w:rPr>
          <w:t xml:space="preserve">: </w:t>
        </w:r>
        <w:r w:rsidR="00E15178" w:rsidRPr="00D14721">
          <w:rPr>
            <w:i/>
            <w:color w:val="0563C1"/>
            <w:u w:val="single"/>
          </w:rPr>
          <w:t>Outil d’auto-évaluation</w:t>
        </w:r>
      </w:hyperlink>
      <w:r w:rsidRPr="00D14721">
        <w:rPr>
          <w:color w:val="000000"/>
        </w:rPr>
        <w:t xml:space="preserve"> (2016). </w:t>
      </w:r>
    </w:p>
    <w:p w14:paraId="55F70CEB" w14:textId="77777777" w:rsidR="00D2713B" w:rsidRPr="00D14721" w:rsidRDefault="00D2713B" w:rsidP="00D2713B">
      <w:pPr>
        <w:pStyle w:val="Paragraphedeliste"/>
        <w:rPr>
          <w:rFonts w:eastAsia="Arial" w:cs="Arial"/>
          <w:color w:val="000000"/>
        </w:rPr>
      </w:pPr>
      <w:r w:rsidRPr="00D14721">
        <w:rPr>
          <w:color w:val="000000"/>
        </w:rPr>
        <w:t>U</w:t>
      </w:r>
      <w:r w:rsidR="00E15178" w:rsidRPr="00D14721">
        <w:rPr>
          <w:color w:val="000000"/>
        </w:rPr>
        <w:t>IP</w:t>
      </w:r>
      <w:r w:rsidRPr="00D14721">
        <w:rPr>
          <w:color w:val="000000"/>
        </w:rPr>
        <w:t>,</w:t>
      </w:r>
      <w:hyperlink r:id="rId15">
        <w:r w:rsidRPr="00D14721">
          <w:rPr>
            <w:color w:val="000000"/>
          </w:rPr>
          <w:t xml:space="preserve"> </w:t>
        </w:r>
      </w:hyperlink>
      <w:hyperlink r:id="rId16">
        <w:r w:rsidR="00E73C4B" w:rsidRPr="00D14721">
          <w:rPr>
            <w:i/>
            <w:color w:val="1155CC"/>
            <w:u w:val="single"/>
          </w:rPr>
          <w:t>Lignes directrices pour l’élimination du sexisme, du harcèlement et de la violence à l’égard des femmes dans les parlements</w:t>
        </w:r>
      </w:hyperlink>
      <w:r w:rsidR="00E73C4B" w:rsidRPr="00D14721">
        <w:rPr>
          <w:iCs/>
        </w:rPr>
        <w:t xml:space="preserve"> (2019).</w:t>
      </w:r>
    </w:p>
    <w:p w14:paraId="7FEEEFF3" w14:textId="77777777" w:rsidR="00D2713B" w:rsidRPr="00D14721" w:rsidRDefault="00D2713B" w:rsidP="00E15178">
      <w:pPr>
        <w:pStyle w:val="Paragraphedeliste"/>
        <w:numPr>
          <w:ilvl w:val="0"/>
          <w:numId w:val="0"/>
        </w:numPr>
        <w:rPr>
          <w:rFonts w:eastAsia="Arial" w:cs="Arial"/>
          <w:color w:val="000000"/>
        </w:rPr>
      </w:pPr>
      <w:bookmarkStart w:id="13" w:name="_heading=h.tf30zrmfp3c0"/>
      <w:bookmarkStart w:id="14" w:name="_heading=h.ylad208uzrc"/>
      <w:bookmarkStart w:id="15" w:name="_heading=h.uqoo1f79d6i8"/>
      <w:bookmarkStart w:id="16" w:name="_heading=h.x8j8a95o0l1k"/>
      <w:bookmarkStart w:id="17" w:name="_heading=h.kwrfh33vxku"/>
      <w:bookmarkEnd w:id="13"/>
      <w:bookmarkEnd w:id="14"/>
      <w:bookmarkEnd w:id="15"/>
      <w:bookmarkEnd w:id="16"/>
      <w:bookmarkEnd w:id="17"/>
    </w:p>
    <w:p w14:paraId="0C783145" w14:textId="7B59E404" w:rsidR="00D2713B" w:rsidRPr="00D14721" w:rsidRDefault="00E73C4B" w:rsidP="00546C0C">
      <w:pPr>
        <w:pStyle w:val="Dimension"/>
      </w:pPr>
      <w:r w:rsidRPr="00D14721">
        <w:t>Aspect</w:t>
      </w:r>
      <w:r w:rsidR="00D2713B" w:rsidRPr="00D14721">
        <w:t xml:space="preserve"> 5.2.2</w:t>
      </w:r>
      <w:r w:rsidRPr="00D14721">
        <w:t> : E</w:t>
      </w:r>
      <w:r w:rsidR="00D2713B" w:rsidRPr="00D14721">
        <w:t>nviron</w:t>
      </w:r>
      <w:r w:rsidRPr="00D14721">
        <w:t>ne</w:t>
      </w:r>
      <w:r w:rsidR="00D2713B" w:rsidRPr="00D14721">
        <w:t>ment </w:t>
      </w:r>
      <w:r w:rsidRPr="00D14721">
        <w:t>de travail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8780"/>
      </w:tblGrid>
      <w:tr w:rsidR="00D2713B" w:rsidRPr="00D14721" w14:paraId="6BB79BC9" w14:textId="77777777" w:rsidTr="00156617">
        <w:tc>
          <w:tcPr>
            <w:tcW w:w="9350" w:type="dxa"/>
            <w:shd w:val="clear" w:color="auto" w:fill="EEEEEE"/>
          </w:tcPr>
          <w:p w14:paraId="7A06DE6F" w14:textId="77777777" w:rsidR="00D2713B" w:rsidRPr="00546C0C" w:rsidRDefault="00DE7153" w:rsidP="00156617">
            <w:pPr>
              <w:rPr>
                <w:rFonts w:eastAsia="Arial" w:cs="Arial"/>
              </w:rPr>
            </w:pPr>
            <w:r w:rsidRPr="00546C0C">
              <w:t>Cet aspect s’applique aux éléments suivants </w:t>
            </w:r>
            <w:r w:rsidR="00D2713B" w:rsidRPr="00546C0C">
              <w:t>:</w:t>
            </w:r>
          </w:p>
          <w:p w14:paraId="74903544" w14:textId="77777777" w:rsidR="00D2713B" w:rsidRPr="00546C0C" w:rsidRDefault="00D2713B" w:rsidP="00156617">
            <w:pPr>
              <w:pStyle w:val="Paragraphedeliste"/>
            </w:pPr>
            <w:r w:rsidRPr="00546C0C">
              <w:t>Indicat</w:t>
            </w:r>
            <w:r w:rsidR="00DE7153" w:rsidRPr="00546C0C">
              <w:t>eu</w:t>
            </w:r>
            <w:r w:rsidRPr="00546C0C">
              <w:t>r 5.2</w:t>
            </w:r>
            <w:r w:rsidR="00DE7153" w:rsidRPr="00546C0C">
              <w:t> </w:t>
            </w:r>
            <w:r w:rsidRPr="00546C0C">
              <w:t xml:space="preserve">: </w:t>
            </w:r>
            <w:r w:rsidR="00DE7153" w:rsidRPr="00546C0C">
              <w:t>Pratiques institutionnelles inclusives</w:t>
            </w:r>
          </w:p>
          <w:p w14:paraId="5B58761A" w14:textId="77777777" w:rsidR="00D2713B" w:rsidRPr="00D14721" w:rsidRDefault="00DE7153" w:rsidP="00156617">
            <w:pPr>
              <w:pStyle w:val="Paragraphedeliste"/>
              <w:rPr>
                <w:sz w:val="24"/>
              </w:rPr>
            </w:pPr>
            <w:r w:rsidRPr="00546C0C">
              <w:t>Cible</w:t>
            </w:r>
            <w:r w:rsidR="00D2713B" w:rsidRPr="00546C0C">
              <w:t xml:space="preserve"> </w:t>
            </w:r>
            <w:r w:rsidR="00FA04CC" w:rsidRPr="00546C0C">
              <w:t>5 :</w:t>
            </w:r>
            <w:r w:rsidR="00D2713B" w:rsidRPr="00546C0C">
              <w:t xml:space="preserve"> </w:t>
            </w:r>
            <w:r w:rsidRPr="00546C0C">
              <w:t>Des parlements inclusifs</w:t>
            </w:r>
          </w:p>
        </w:tc>
      </w:tr>
    </w:tbl>
    <w:p w14:paraId="7DE04DC6" w14:textId="77777777" w:rsidR="00D2713B" w:rsidRPr="00D14721" w:rsidRDefault="00E008D2" w:rsidP="00546C0C">
      <w:pPr>
        <w:pStyle w:val="section-title"/>
      </w:pPr>
      <w:r w:rsidRPr="00D14721">
        <w:t>À propos de l’aspect</w:t>
      </w:r>
    </w:p>
    <w:p w14:paraId="2114AA87" w14:textId="77777777" w:rsidR="00D2713B" w:rsidRPr="00D14721" w:rsidRDefault="00236854" w:rsidP="00D2713B">
      <w:pPr>
        <w:rPr>
          <w:rFonts w:eastAsia="Arial" w:cs="Arial"/>
        </w:rPr>
      </w:pPr>
      <w:r w:rsidRPr="00D14721">
        <w:t xml:space="preserve">Cet aspect porte sur les pratiques et les dispositions visant à </w:t>
      </w:r>
      <w:r w:rsidR="00D40129" w:rsidRPr="00D14721">
        <w:t xml:space="preserve">faire du parlement </w:t>
      </w:r>
      <w:r w:rsidRPr="00D14721">
        <w:t>un environnement de travail inclusif. L'existence d'un environnement de travail bienveillant et inclusif peut contribuer à améliorer la performance des parlementaires, du personnel parlementaire et du parlement dans son ensemble.</w:t>
      </w:r>
    </w:p>
    <w:p w14:paraId="30DED1CA" w14:textId="77777777" w:rsidR="00D2713B" w:rsidRPr="00D14721" w:rsidRDefault="00D2713B" w:rsidP="00D2713B"/>
    <w:p w14:paraId="6F22F691" w14:textId="77777777" w:rsidR="00D2713B" w:rsidRPr="00D14721" w:rsidRDefault="00236854" w:rsidP="00D2713B">
      <w:pPr>
        <w:rPr>
          <w:shd w:val="clear" w:color="auto" w:fill="FFFFFF"/>
        </w:rPr>
      </w:pPr>
      <w:r w:rsidRPr="00D14721">
        <w:t>Le parlement a l'obligation de veiller sur la santé et la sécurité des parlementaires, de son personnel et des visiteurs. Il est également tenu d'offrir aux parlementaires et au personnel parlementaire handicapés un lieu de travail sûr et fonctionnel répondant à leurs besoins, ce qui passe par l'accessibilité des installations parlementaires et de l'information.</w:t>
      </w:r>
      <w:r w:rsidR="00D2713B" w:rsidRPr="00D14721">
        <w:rPr>
          <w:shd w:val="clear" w:color="auto" w:fill="FFFFFF"/>
        </w:rPr>
        <w:t xml:space="preserve"> </w:t>
      </w:r>
    </w:p>
    <w:p w14:paraId="2B59FDC1" w14:textId="77777777" w:rsidR="00D2713B" w:rsidRPr="00D14721" w:rsidRDefault="00D2713B" w:rsidP="00D2713B"/>
    <w:p w14:paraId="3668B04D" w14:textId="77777777" w:rsidR="00D2713B" w:rsidRPr="00D14721" w:rsidRDefault="00236854" w:rsidP="00236854">
      <w:r w:rsidRPr="00D14721">
        <w:t xml:space="preserve">Nombreux sont les parlementaires et les membres du personnel parlementaire qui assument et doivent mener en parallèle de leurs engagements professionnels des responsabilités familiales </w:t>
      </w:r>
      <w:r w:rsidR="00D40129" w:rsidRPr="00D14721">
        <w:t>considérabl</w:t>
      </w:r>
      <w:r w:rsidRPr="00D14721">
        <w:t>es, par exemple parce qu'ils s'occupent de nourrissons, d'enfants ou de personnes âgées, entre autres.</w:t>
      </w:r>
      <w:r w:rsidR="00D2713B" w:rsidRPr="00D14721">
        <w:t xml:space="preserve"> </w:t>
      </w:r>
      <w:r w:rsidRPr="00D14721">
        <w:t>Il est donc essentiel que le parlement offre, grâce à des procédures et des pratiques porteuses, un environnement convivial pour les familles. Ces pratiques peuvent notamment être les suivantes :</w:t>
      </w:r>
    </w:p>
    <w:p w14:paraId="694055FB" w14:textId="77777777" w:rsidR="00D2713B" w:rsidRPr="00D14721" w:rsidRDefault="00D2713B" w:rsidP="00D2713B"/>
    <w:p w14:paraId="642F807B" w14:textId="77777777" w:rsidR="00236854" w:rsidRPr="00D14721" w:rsidRDefault="00236854" w:rsidP="00236854">
      <w:pPr>
        <w:pStyle w:val="Paragraphedeliste"/>
      </w:pPr>
      <w:r w:rsidRPr="00D14721">
        <w:t>fixer des heures et des périodes de réunion adaptées aux familles</w:t>
      </w:r>
    </w:p>
    <w:p w14:paraId="0D60EA05" w14:textId="77777777" w:rsidR="00236854" w:rsidRPr="00D14721" w:rsidRDefault="00236854" w:rsidP="00236854">
      <w:pPr>
        <w:pStyle w:val="Paragraphedeliste"/>
      </w:pPr>
      <w:r w:rsidRPr="00D14721">
        <w:t>faciliter le travail à domicile, y compris en prenant des mesures concernant la présence et le vote</w:t>
      </w:r>
    </w:p>
    <w:p w14:paraId="59FE748B" w14:textId="77777777" w:rsidR="00236854" w:rsidRPr="00D14721" w:rsidRDefault="00236854" w:rsidP="00236854">
      <w:pPr>
        <w:pStyle w:val="Paragraphedeliste"/>
      </w:pPr>
      <w:r w:rsidRPr="00D14721">
        <w:t>permettre aux parlementaires de venir voter accompagnés de leurs nourrissons</w:t>
      </w:r>
    </w:p>
    <w:p w14:paraId="11C9D137" w14:textId="77777777" w:rsidR="00236854" w:rsidRPr="00D14721" w:rsidRDefault="00236854" w:rsidP="00236854">
      <w:pPr>
        <w:pStyle w:val="Paragraphedeliste"/>
      </w:pPr>
      <w:r w:rsidRPr="00D14721">
        <w:t>apparier les parlementaires absents lors des vote</w:t>
      </w:r>
      <w:r w:rsidR="00D40129" w:rsidRPr="00D14721">
        <w:t>s</w:t>
      </w:r>
      <w:r w:rsidRPr="00D14721">
        <w:t xml:space="preserve"> ou autoriser le vote par procuration</w:t>
      </w:r>
    </w:p>
    <w:p w14:paraId="066BE0DC" w14:textId="0C068983" w:rsidR="00D2713B" w:rsidRPr="00D14721" w:rsidRDefault="00236854" w:rsidP="00236854">
      <w:pPr>
        <w:pStyle w:val="Paragraphedeliste"/>
      </w:pPr>
      <w:r w:rsidRPr="00D14721">
        <w:t xml:space="preserve">offrir des installations et des services </w:t>
      </w:r>
      <w:r w:rsidR="00B957DC" w:rsidRPr="00D14721">
        <w:t>conçus</w:t>
      </w:r>
      <w:r w:rsidR="00D40129" w:rsidRPr="00D14721">
        <w:t xml:space="preserve"> </w:t>
      </w:r>
      <w:r w:rsidRPr="00D14721">
        <w:t>pour les familles, par exemple une salle d'allaitement, des espaces pour les familles et des structures de garde d'enfants</w:t>
      </w:r>
      <w:r w:rsidR="00A23B34">
        <w:t>.</w:t>
      </w:r>
    </w:p>
    <w:p w14:paraId="739DFC09" w14:textId="77777777" w:rsidR="00236854" w:rsidRPr="00D14721" w:rsidRDefault="00236854" w:rsidP="00236854">
      <w:pPr>
        <w:pStyle w:val="Paragraphedeliste"/>
        <w:numPr>
          <w:ilvl w:val="0"/>
          <w:numId w:val="0"/>
        </w:numPr>
        <w:ind w:left="720"/>
      </w:pPr>
    </w:p>
    <w:p w14:paraId="0EDAD43E" w14:textId="77777777" w:rsidR="00D2713B" w:rsidRPr="00D14721" w:rsidRDefault="00236854" w:rsidP="00D2713B">
      <w:pPr>
        <w:rPr>
          <w:rFonts w:eastAsia="Arial" w:cs="Arial"/>
        </w:rPr>
      </w:pPr>
      <w:r w:rsidRPr="00D14721">
        <w:t>Voir également l’</w:t>
      </w:r>
      <w:r w:rsidRPr="00D14721">
        <w:rPr>
          <w:i/>
          <w:iCs/>
        </w:rPr>
        <w:t>a</w:t>
      </w:r>
      <w:r w:rsidR="00D2713B" w:rsidRPr="00D14721">
        <w:rPr>
          <w:i/>
          <w:iCs/>
        </w:rPr>
        <w:t>s</w:t>
      </w:r>
      <w:r w:rsidRPr="00D14721">
        <w:rPr>
          <w:i/>
          <w:iCs/>
        </w:rPr>
        <w:t>pect</w:t>
      </w:r>
      <w:r w:rsidR="00D2713B" w:rsidRPr="00D14721">
        <w:rPr>
          <w:i/>
          <w:iCs/>
        </w:rPr>
        <w:t xml:space="preserve"> 3.3.2</w:t>
      </w:r>
      <w:r w:rsidRPr="00D14721">
        <w:rPr>
          <w:i/>
          <w:iCs/>
        </w:rPr>
        <w:t xml:space="preserve"> </w:t>
      </w:r>
      <w:r w:rsidR="00D2713B" w:rsidRPr="00D14721">
        <w:rPr>
          <w:i/>
          <w:iCs/>
        </w:rPr>
        <w:t>: Acc</w:t>
      </w:r>
      <w:r w:rsidRPr="00D14721">
        <w:rPr>
          <w:i/>
          <w:iCs/>
        </w:rPr>
        <w:t>è</w:t>
      </w:r>
      <w:r w:rsidR="00D2713B" w:rsidRPr="00D14721">
        <w:rPr>
          <w:i/>
          <w:iCs/>
        </w:rPr>
        <w:t xml:space="preserve">s </w:t>
      </w:r>
      <w:r w:rsidRPr="00D14721">
        <w:rPr>
          <w:i/>
          <w:iCs/>
        </w:rPr>
        <w:t>des personnes handicapées au parlement</w:t>
      </w:r>
      <w:r w:rsidR="00D2713B" w:rsidRPr="00D14721">
        <w:t>.</w:t>
      </w:r>
    </w:p>
    <w:p w14:paraId="7C0D0272" w14:textId="77777777" w:rsidR="00D2713B" w:rsidRPr="00D14721" w:rsidRDefault="00E008D2" w:rsidP="00546C0C">
      <w:pPr>
        <w:pStyle w:val="section-title"/>
      </w:pPr>
      <w:r w:rsidRPr="00D14721">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8780"/>
      </w:tblGrid>
      <w:tr w:rsidR="00D2713B" w:rsidRPr="00D14721" w14:paraId="276BEC33" w14:textId="77777777" w:rsidTr="00156617">
        <w:tc>
          <w:tcPr>
            <w:tcW w:w="5000" w:type="pct"/>
            <w:shd w:val="clear" w:color="auto" w:fill="EEEEEE"/>
          </w:tcPr>
          <w:p w14:paraId="1A23CAE6" w14:textId="77777777" w:rsidR="00236854" w:rsidRPr="00D14721" w:rsidRDefault="00236854" w:rsidP="00236854">
            <w:pPr>
              <w:rPr>
                <w:i/>
                <w:iCs/>
              </w:rPr>
            </w:pPr>
            <w:r w:rsidRPr="00D14721">
              <w:rPr>
                <w:i/>
                <w:iCs/>
              </w:rPr>
              <w:t>Après une analyse comparative, les parlements pourraient par exemple viser les objectifs suivants en ce qui concerne l'environnement de travail :</w:t>
            </w:r>
          </w:p>
          <w:p w14:paraId="6A2B9A37" w14:textId="77777777" w:rsidR="00236854" w:rsidRPr="00D14721" w:rsidRDefault="00236854" w:rsidP="00236854">
            <w:pPr>
              <w:rPr>
                <w:i/>
                <w:iCs/>
              </w:rPr>
            </w:pPr>
          </w:p>
          <w:p w14:paraId="25C826D2" w14:textId="77777777" w:rsidR="00236854" w:rsidRPr="00D14721" w:rsidRDefault="00236854" w:rsidP="00236854">
            <w:r w:rsidRPr="00D14721">
              <w:t>Le cadre juridique oblige le parlement à veiller sur la santé et la sécurité des parlementaires, du personnel parlementaire et des visiteurs. Les politiques et la réglementation en matière de santé et de sécurité sont régulièrement contrôlées et évaluées.</w:t>
            </w:r>
          </w:p>
          <w:p w14:paraId="0A85FCEA" w14:textId="77777777" w:rsidR="00236854" w:rsidRPr="00D14721" w:rsidRDefault="00236854" w:rsidP="00236854"/>
          <w:p w14:paraId="51446071" w14:textId="77777777" w:rsidR="00236854" w:rsidRPr="00D14721" w:rsidRDefault="00236854" w:rsidP="00236854">
            <w:r w:rsidRPr="00D14721">
              <w:t>Le parlement offre un environnement de travail sûr et fonctionnel aux parlementaires et au personnel parlementaire handicapés.</w:t>
            </w:r>
          </w:p>
          <w:p w14:paraId="4734BB2C" w14:textId="77777777" w:rsidR="00236854" w:rsidRPr="00D14721" w:rsidRDefault="00236854" w:rsidP="00236854"/>
          <w:p w14:paraId="4CFD64F2" w14:textId="77777777" w:rsidR="00236854" w:rsidRPr="00D14721" w:rsidRDefault="00236854" w:rsidP="00236854">
            <w:r w:rsidRPr="00D14721">
              <w:t>Le règlement du parlement permet aux parlementaires qui allaitent ou s'occupent de jeunes enfants de s'acquitter de leur mandat parlementaire, y compris le vote.</w:t>
            </w:r>
          </w:p>
          <w:p w14:paraId="30166936" w14:textId="77777777" w:rsidR="00236854" w:rsidRPr="00D14721" w:rsidRDefault="00236854" w:rsidP="00236854"/>
          <w:p w14:paraId="66CF1987" w14:textId="77777777" w:rsidR="00236854" w:rsidRPr="00D14721" w:rsidRDefault="00236854" w:rsidP="00236854">
            <w:r w:rsidRPr="00D14721">
              <w:t xml:space="preserve">Le parlement offre aux parlementaires et au personnel parlementaire des installations et des services </w:t>
            </w:r>
            <w:r w:rsidR="00B957DC" w:rsidRPr="00D14721">
              <w:t>conç</w:t>
            </w:r>
            <w:r w:rsidR="00D40129" w:rsidRPr="00D14721">
              <w:t xml:space="preserve">us </w:t>
            </w:r>
            <w:r w:rsidRPr="00D14721">
              <w:t>pour les familles, par exemple une salle d'allaitement, des espaces pour les familles et des structures de garde d'enfants</w:t>
            </w:r>
            <w:r w:rsidR="00F41C4B" w:rsidRPr="00D14721">
              <w:t>.</w:t>
            </w:r>
          </w:p>
          <w:p w14:paraId="321332E0" w14:textId="77777777" w:rsidR="00F41C4B" w:rsidRPr="00D14721" w:rsidRDefault="00F41C4B" w:rsidP="00236854"/>
          <w:p w14:paraId="25938542" w14:textId="77777777" w:rsidR="00D2713B" w:rsidRPr="00D14721" w:rsidRDefault="00236854" w:rsidP="00236854">
            <w:r w:rsidRPr="00D14721">
              <w:t>Le parlement prend des mesures destinées à faciliter l'équilibre entre la vie personnelle et la vie professionnelle des parlementaires et du personnel parlementaire, notamment en veillant à la régularité des horaires et des périodes de réunion, en proposant des horaires de travail souples et en offrant des possibilités de participation à distance et de travail à domicile.</w:t>
            </w:r>
          </w:p>
        </w:tc>
      </w:tr>
    </w:tbl>
    <w:p w14:paraId="72513558" w14:textId="77777777" w:rsidR="00D2713B" w:rsidRPr="00D14721" w:rsidRDefault="00E008D2" w:rsidP="00546C0C">
      <w:pPr>
        <w:pStyle w:val="section-title"/>
      </w:pPr>
      <w:r w:rsidRPr="00D14721">
        <w:t>Évaluation</w:t>
      </w:r>
    </w:p>
    <w:p w14:paraId="3078627D" w14:textId="77777777" w:rsidR="00F41C4B" w:rsidRPr="00D14721" w:rsidRDefault="00F41C4B" w:rsidP="00F41C4B">
      <w:r w:rsidRPr="00D14721">
        <w:t>L'aspect examiné ici est apprécié selon plusieurs critères, qui doivent être évalués séparément.</w:t>
      </w:r>
    </w:p>
    <w:p w14:paraId="15671015" w14:textId="77777777" w:rsidR="00D2713B" w:rsidRPr="00D14721" w:rsidRDefault="00F41C4B" w:rsidP="00F41C4B">
      <w:pPr>
        <w:rPr>
          <w:rFonts w:eastAsia="Arial" w:cs="Arial"/>
        </w:rPr>
      </w:pPr>
      <w:r w:rsidRPr="00D14721">
        <w:t>Pour chaque critère, veuillez choisir parmi les six appréciations proposées (Néant, Médiocre, Moyen, Bon, Très bon et Excellent) celle qui correspond le mieux à la situation dans votre parlement, et fournir des éléments à l'appui de votre appréciation</w:t>
      </w:r>
      <w:r w:rsidR="00D2713B" w:rsidRPr="00D14721">
        <w:t xml:space="preserve">. </w:t>
      </w:r>
    </w:p>
    <w:p w14:paraId="2DE0B1B9" w14:textId="77777777" w:rsidR="00D2713B" w:rsidRPr="00D14721" w:rsidRDefault="00D2713B" w:rsidP="00D2713B"/>
    <w:p w14:paraId="200ED39C" w14:textId="77777777" w:rsidR="00D2713B" w:rsidRPr="00D14721" w:rsidRDefault="00F41C4B" w:rsidP="00D2713B">
      <w:pPr>
        <w:rPr>
          <w:rFonts w:eastAsia="Arial" w:cs="Arial"/>
        </w:rPr>
      </w:pPr>
      <w:r w:rsidRPr="00D14721">
        <w:t>Exemples d'éléments permettant d'étayer l'évaluation </w:t>
      </w:r>
      <w:r w:rsidR="00D2713B" w:rsidRPr="00D14721">
        <w:t>:</w:t>
      </w:r>
    </w:p>
    <w:p w14:paraId="73D8D37F" w14:textId="77777777" w:rsidR="00D2713B" w:rsidRPr="00D14721" w:rsidRDefault="00D2713B" w:rsidP="00D2713B"/>
    <w:p w14:paraId="6036A872" w14:textId="408A0F21" w:rsidR="00F41C4B" w:rsidRPr="00D14721" w:rsidRDefault="00F41C4B" w:rsidP="00F41C4B">
      <w:pPr>
        <w:pStyle w:val="Paragraphedeliste"/>
        <w:numPr>
          <w:ilvl w:val="0"/>
          <w:numId w:val="3"/>
        </w:numPr>
      </w:pPr>
      <w:r w:rsidRPr="00D14721">
        <w:t>Dispositions des politiques, réglementation ou autres mesures portant sur la santé, la sécurité et le bien-être au travail</w:t>
      </w:r>
    </w:p>
    <w:p w14:paraId="2BE8FA40" w14:textId="7E60DF3A" w:rsidR="00F41C4B" w:rsidRPr="00D14721" w:rsidRDefault="00F41C4B" w:rsidP="00F41C4B">
      <w:pPr>
        <w:pStyle w:val="Paragraphedeliste"/>
        <w:numPr>
          <w:ilvl w:val="0"/>
          <w:numId w:val="3"/>
        </w:numPr>
      </w:pPr>
      <w:r w:rsidRPr="00D14721">
        <w:t xml:space="preserve">Dispositions des politiques, réglementation, </w:t>
      </w:r>
      <w:r w:rsidR="00A23B34">
        <w:t xml:space="preserve">article(s) du </w:t>
      </w:r>
      <w:r w:rsidRPr="00D14721">
        <w:t xml:space="preserve">règlement </w:t>
      </w:r>
      <w:r w:rsidR="00D5695F" w:rsidRPr="00D14721">
        <w:t xml:space="preserve">du parlement </w:t>
      </w:r>
      <w:r w:rsidRPr="00D14721">
        <w:t>ou code de conduite visant à prévenir et combattre le sexisme, le harcèlement et la violence à l'encontre des parlementaires et du personnel parlementaire</w:t>
      </w:r>
    </w:p>
    <w:p w14:paraId="23D5451D" w14:textId="77777777" w:rsidR="00F41C4B" w:rsidRPr="00D14721" w:rsidRDefault="00F41C4B" w:rsidP="00F41C4B">
      <w:pPr>
        <w:pStyle w:val="Paragraphedeliste"/>
        <w:numPr>
          <w:ilvl w:val="0"/>
          <w:numId w:val="3"/>
        </w:numPr>
      </w:pPr>
      <w:r w:rsidRPr="00D14721">
        <w:t>Documents ou autre information attestant que ces politiques ou cette réglementation sont appliquées dans la pratique et soumises à un contrôle et une évaluation réguliers</w:t>
      </w:r>
    </w:p>
    <w:p w14:paraId="47C93789" w14:textId="77777777" w:rsidR="00F41C4B" w:rsidRPr="00D14721" w:rsidRDefault="00F41C4B" w:rsidP="00F41C4B">
      <w:pPr>
        <w:pStyle w:val="Paragraphedeliste"/>
        <w:numPr>
          <w:ilvl w:val="0"/>
          <w:numId w:val="3"/>
        </w:numPr>
      </w:pPr>
      <w:r w:rsidRPr="00D14721">
        <w:t>Dispositions du règlement du parlement ayant été adaptées pour permettre aux parlementaires ayant charge de famille de s'acquitter de leur mandat parlementaire</w:t>
      </w:r>
    </w:p>
    <w:p w14:paraId="0D645FFC" w14:textId="77777777" w:rsidR="00F41C4B" w:rsidRPr="00D14721" w:rsidRDefault="00F41C4B" w:rsidP="00F41C4B">
      <w:pPr>
        <w:pStyle w:val="Paragraphedeliste"/>
        <w:numPr>
          <w:ilvl w:val="0"/>
          <w:numId w:val="3"/>
        </w:numPr>
      </w:pPr>
      <w:r w:rsidRPr="00D14721">
        <w:t xml:space="preserve">Information concernant les installations et les services </w:t>
      </w:r>
      <w:r w:rsidR="00B957DC" w:rsidRPr="00D14721">
        <w:t>conç</w:t>
      </w:r>
      <w:r w:rsidRPr="00D14721">
        <w:t>us pour les familles offerts par le parlement</w:t>
      </w:r>
    </w:p>
    <w:p w14:paraId="5EC2F886" w14:textId="77777777" w:rsidR="00D2713B" w:rsidRPr="00D14721" w:rsidRDefault="00F41C4B" w:rsidP="00F41C4B">
      <w:pPr>
        <w:pStyle w:val="Paragraphedeliste"/>
        <w:numPr>
          <w:ilvl w:val="0"/>
          <w:numId w:val="3"/>
        </w:numPr>
        <w:rPr>
          <w:rFonts w:eastAsia="Arial" w:cs="Arial"/>
        </w:rPr>
      </w:pPr>
      <w:r w:rsidRPr="00D14721">
        <w:t xml:space="preserve">Dispositions des politiques de gestion des ressources humaines </w:t>
      </w:r>
      <w:r w:rsidR="00D5695F" w:rsidRPr="00D14721">
        <w:t xml:space="preserve">visant à </w:t>
      </w:r>
      <w:r w:rsidRPr="00D14721">
        <w:t>préserv</w:t>
      </w:r>
      <w:r w:rsidR="00D5695F" w:rsidRPr="00D14721">
        <w:t>er</w:t>
      </w:r>
      <w:r w:rsidRPr="00D14721">
        <w:t xml:space="preserve"> l'équilibre entre vie personnelle et vie professionnelle</w:t>
      </w:r>
    </w:p>
    <w:p w14:paraId="78C50C6F" w14:textId="77777777" w:rsidR="00D2713B" w:rsidRPr="00D14721" w:rsidRDefault="00D2713B" w:rsidP="00D2713B"/>
    <w:p w14:paraId="3A7B03C6" w14:textId="77777777" w:rsidR="00D2713B" w:rsidRPr="00D14721" w:rsidRDefault="00F41C4B" w:rsidP="00D2713B">
      <w:pPr>
        <w:rPr>
          <w:rFonts w:eastAsia="Arial" w:cs="Arial"/>
        </w:rPr>
      </w:pPr>
      <w:r w:rsidRPr="00D14721">
        <w:t>Le cas échéant, merci de bien vouloir communiquer des observations ou exemples supplémentaires pour étayer l'évaluation.</w:t>
      </w:r>
    </w:p>
    <w:p w14:paraId="1C4C89BD" w14:textId="77777777" w:rsidR="00D2713B" w:rsidRPr="00D14721" w:rsidRDefault="00D2713B" w:rsidP="00D2713B"/>
    <w:p w14:paraId="3F4CE416" w14:textId="77777777" w:rsidR="00E73C4B" w:rsidRPr="00D14721" w:rsidRDefault="00E73C4B" w:rsidP="00E73C4B">
      <w:pPr>
        <w:pStyle w:val="Titre4"/>
      </w:pPr>
      <w:r w:rsidRPr="00D14721">
        <w:t xml:space="preserve">Critère d'évaluation n° 1 : Santé et sécurité </w:t>
      </w:r>
    </w:p>
    <w:p w14:paraId="03D70453" w14:textId="77777777" w:rsidR="00E73C4B" w:rsidRPr="00D14721" w:rsidRDefault="00E73C4B" w:rsidP="00E73C4B">
      <w:pPr>
        <w:rPr>
          <w:rFonts w:eastAsia="Times New Roman" w:cs="Arial"/>
        </w:rPr>
      </w:pPr>
      <w:r w:rsidRPr="00D14721">
        <w:rPr>
          <w:rFonts w:eastAsia="Times New Roman" w:cs="Arial"/>
        </w:rPr>
        <w:t>Le cadre juridique oblige le parlement à veiller sur la santé et la sécurité des parlementaires, du personnel parlementaire et des visiteurs. Les politiques et la réglementation en matière de santé et de sécurité sont régulièrement contrôlées et évaluées.</w:t>
      </w:r>
    </w:p>
    <w:p w14:paraId="6ACD9FF1" w14:textId="77777777" w:rsidR="00E73C4B" w:rsidRPr="00D14721" w:rsidRDefault="00E73C4B" w:rsidP="00E73C4B"/>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E73C4B" w:rsidRPr="00D14721" w14:paraId="2499DDC8"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D7DDECD" w14:textId="77777777" w:rsidR="00E73C4B" w:rsidRPr="00D14721" w:rsidRDefault="00E73C4B" w:rsidP="00156617">
            <w:pPr>
              <w:rPr>
                <w:rFonts w:cs="Arial"/>
              </w:rPr>
            </w:pPr>
            <w:r w:rsidRPr="00D14721">
              <w:t>Néant</w:t>
            </w:r>
          </w:p>
          <w:p w14:paraId="10D9613A" w14:textId="77777777" w:rsidR="00E73C4B" w:rsidRPr="00D14721" w:rsidRDefault="00E73C4B"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7E73A032" w14:textId="77777777" w:rsidR="00E73C4B" w:rsidRPr="00D14721" w:rsidRDefault="00E73C4B" w:rsidP="00156617">
            <w:pPr>
              <w:rPr>
                <w:rFonts w:cs="Arial"/>
              </w:rPr>
            </w:pPr>
            <w:r w:rsidRPr="00D14721">
              <w:t xml:space="preserve">Médiocre </w:t>
            </w:r>
          </w:p>
          <w:p w14:paraId="34D58BDC" w14:textId="77777777" w:rsidR="00E73C4B" w:rsidRPr="00D14721" w:rsidRDefault="00E73C4B"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7F634DC3" w14:textId="77777777" w:rsidR="00E73C4B" w:rsidRPr="00D14721" w:rsidRDefault="00E73C4B" w:rsidP="00156617">
            <w:pPr>
              <w:rPr>
                <w:rFonts w:cs="Arial"/>
              </w:rPr>
            </w:pPr>
            <w:r w:rsidRPr="00D14721">
              <w:rPr>
                <w:rFonts w:cs="Arial"/>
              </w:rPr>
              <w:t>Moyen</w:t>
            </w:r>
          </w:p>
          <w:p w14:paraId="1FAB1FB0" w14:textId="77777777" w:rsidR="00E73C4B" w:rsidRPr="00D14721" w:rsidRDefault="00E73C4B"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02EB6182" w14:textId="77777777" w:rsidR="00E73C4B" w:rsidRPr="00D14721" w:rsidRDefault="00E73C4B" w:rsidP="00156617">
            <w:pPr>
              <w:rPr>
                <w:rFonts w:cs="Arial"/>
              </w:rPr>
            </w:pPr>
            <w:r w:rsidRPr="00D14721">
              <w:rPr>
                <w:rFonts w:cs="Arial"/>
              </w:rPr>
              <w:t>Bon</w:t>
            </w:r>
          </w:p>
          <w:p w14:paraId="1B085F0B" w14:textId="77777777" w:rsidR="00E73C4B" w:rsidRPr="00D14721" w:rsidRDefault="00E73C4B"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2B32DFEC" w14:textId="77777777" w:rsidR="00E73C4B" w:rsidRPr="00D14721" w:rsidRDefault="00E73C4B" w:rsidP="00156617">
            <w:pPr>
              <w:rPr>
                <w:rFonts w:cs="Arial"/>
              </w:rPr>
            </w:pPr>
            <w:r w:rsidRPr="00D14721">
              <w:t>Très bon</w:t>
            </w:r>
          </w:p>
          <w:p w14:paraId="59C530AE" w14:textId="77777777" w:rsidR="00E73C4B" w:rsidRPr="00D14721" w:rsidRDefault="00E73C4B" w:rsidP="00156617">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7CE97C24" w14:textId="77777777" w:rsidR="00E73C4B" w:rsidRPr="00D14721" w:rsidRDefault="00E73C4B" w:rsidP="00156617">
            <w:pPr>
              <w:rPr>
                <w:rFonts w:cs="Arial"/>
              </w:rPr>
            </w:pPr>
            <w:r w:rsidRPr="00D14721">
              <w:t>Excellent</w:t>
            </w:r>
          </w:p>
          <w:p w14:paraId="244C77BA" w14:textId="77777777" w:rsidR="00E73C4B" w:rsidRPr="00D14721" w:rsidRDefault="00E73C4B" w:rsidP="00156617">
            <w:r w:rsidRPr="00D14721">
              <w:rPr>
                <w:rFonts w:ascii="Segoe UI Symbol" w:hAnsi="Segoe UI Symbol" w:cs="Segoe UI Symbol"/>
              </w:rPr>
              <w:t>☐</w:t>
            </w:r>
          </w:p>
        </w:tc>
      </w:tr>
      <w:tr w:rsidR="00E73C4B" w:rsidRPr="00D14721" w14:paraId="3B3D05FC"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DE18E0" w14:textId="77777777" w:rsidR="00E73C4B" w:rsidRPr="00D14721" w:rsidRDefault="00E73C4B" w:rsidP="00156617">
            <w:r w:rsidRPr="00D14721">
              <w:t xml:space="preserve">Éléments à l'appui de l'évaluation : </w:t>
            </w:r>
          </w:p>
          <w:p w14:paraId="0C6D0D57" w14:textId="77777777" w:rsidR="00E73C4B" w:rsidRPr="00D14721" w:rsidRDefault="00E73C4B" w:rsidP="00156617"/>
          <w:p w14:paraId="4EA56C6A" w14:textId="77777777" w:rsidR="00E73C4B" w:rsidRPr="00D14721" w:rsidRDefault="00E73C4B" w:rsidP="00156617"/>
        </w:tc>
      </w:tr>
    </w:tbl>
    <w:p w14:paraId="2F1B6878" w14:textId="77777777" w:rsidR="00E73C4B" w:rsidRPr="00D14721" w:rsidRDefault="00E73C4B" w:rsidP="00E73C4B"/>
    <w:p w14:paraId="498387DA" w14:textId="77777777" w:rsidR="00E73C4B" w:rsidRPr="00D14721" w:rsidRDefault="00E73C4B" w:rsidP="00E73C4B">
      <w:pPr>
        <w:rPr>
          <w:rFonts w:eastAsia="Malgun Gothic" w:cs="Times New Roman"/>
          <w:b/>
          <w:iCs/>
        </w:rPr>
      </w:pPr>
      <w:r w:rsidRPr="00D14721">
        <w:rPr>
          <w:rFonts w:eastAsia="Malgun Gothic" w:cs="Times New Roman"/>
          <w:b/>
          <w:iCs/>
        </w:rPr>
        <w:t>Critère d'évaluation n° 2 :   Parlementaires et personnel parlementaire handicapés</w:t>
      </w:r>
    </w:p>
    <w:p w14:paraId="55FFA23E" w14:textId="77777777" w:rsidR="00E73C4B" w:rsidRPr="00D14721" w:rsidRDefault="00E73C4B" w:rsidP="00E73C4B">
      <w:pPr>
        <w:rPr>
          <w:rFonts w:eastAsia="Malgun Gothic" w:cs="Times New Roman"/>
          <w:b/>
          <w:iCs/>
        </w:rPr>
      </w:pPr>
      <w:r w:rsidRPr="00D14721">
        <w:rPr>
          <w:rFonts w:eastAsia="Malgun Gothic" w:cs="Times New Roman"/>
          <w:b/>
          <w:iCs/>
        </w:rPr>
        <w:t xml:space="preserve">   </w:t>
      </w:r>
    </w:p>
    <w:p w14:paraId="4AFFFB84" w14:textId="77777777" w:rsidR="00E73C4B" w:rsidRPr="00D14721" w:rsidRDefault="00E73C4B" w:rsidP="00E73C4B">
      <w:pPr>
        <w:rPr>
          <w:rFonts w:eastAsia="Malgun Gothic" w:cs="Times New Roman"/>
          <w:bCs/>
          <w:iCs/>
        </w:rPr>
      </w:pPr>
      <w:r w:rsidRPr="00D14721">
        <w:rPr>
          <w:rFonts w:eastAsia="Malgun Gothic" w:cs="Times New Roman"/>
          <w:bCs/>
          <w:iCs/>
        </w:rPr>
        <w:t>Le parlement offre un environnement de travail sûr et fonctionnel aux parlementaires et au personnel parlementaire handicapés.</w:t>
      </w:r>
    </w:p>
    <w:p w14:paraId="5960CC5F" w14:textId="77777777" w:rsidR="00E73C4B" w:rsidRPr="00D14721" w:rsidRDefault="00E73C4B" w:rsidP="00E73C4B"/>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E73C4B" w:rsidRPr="00D14721" w14:paraId="2CD4F7C6"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18D350C" w14:textId="77777777" w:rsidR="00E73C4B" w:rsidRPr="00D14721" w:rsidRDefault="00E73C4B" w:rsidP="00156617">
            <w:pPr>
              <w:rPr>
                <w:rFonts w:cs="Arial"/>
              </w:rPr>
            </w:pPr>
            <w:r w:rsidRPr="00D14721">
              <w:t>Néant</w:t>
            </w:r>
          </w:p>
          <w:p w14:paraId="5138F3B6" w14:textId="77777777" w:rsidR="00E73C4B" w:rsidRPr="00D14721" w:rsidRDefault="00E73C4B"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10EA6BC1" w14:textId="77777777" w:rsidR="00E73C4B" w:rsidRPr="00D14721" w:rsidRDefault="00E73C4B" w:rsidP="00156617">
            <w:pPr>
              <w:rPr>
                <w:rFonts w:cs="Arial"/>
              </w:rPr>
            </w:pPr>
            <w:r w:rsidRPr="00D14721">
              <w:t xml:space="preserve">Médiocre </w:t>
            </w:r>
          </w:p>
          <w:p w14:paraId="0C348E67" w14:textId="77777777" w:rsidR="00E73C4B" w:rsidRPr="00D14721" w:rsidRDefault="00E73C4B"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5747BD3D" w14:textId="77777777" w:rsidR="00E73C4B" w:rsidRPr="00D14721" w:rsidRDefault="00E73C4B" w:rsidP="00156617">
            <w:pPr>
              <w:rPr>
                <w:rFonts w:cs="Arial"/>
              </w:rPr>
            </w:pPr>
            <w:r w:rsidRPr="00D14721">
              <w:rPr>
                <w:rFonts w:cs="Arial"/>
              </w:rPr>
              <w:t>Moyen</w:t>
            </w:r>
          </w:p>
          <w:p w14:paraId="7633B35C" w14:textId="77777777" w:rsidR="00E73C4B" w:rsidRPr="00D14721" w:rsidRDefault="00E73C4B"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3874C755" w14:textId="77777777" w:rsidR="00E73C4B" w:rsidRPr="00D14721" w:rsidRDefault="00E73C4B" w:rsidP="00156617">
            <w:pPr>
              <w:rPr>
                <w:rFonts w:cs="Arial"/>
              </w:rPr>
            </w:pPr>
            <w:r w:rsidRPr="00D14721">
              <w:rPr>
                <w:rFonts w:cs="Arial"/>
              </w:rPr>
              <w:t>Bon</w:t>
            </w:r>
          </w:p>
          <w:p w14:paraId="730FEBE8" w14:textId="77777777" w:rsidR="00E73C4B" w:rsidRPr="00D14721" w:rsidRDefault="00E73C4B"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44DA0FED" w14:textId="77777777" w:rsidR="00E73C4B" w:rsidRPr="00D14721" w:rsidRDefault="00E73C4B" w:rsidP="00156617">
            <w:pPr>
              <w:rPr>
                <w:rFonts w:cs="Arial"/>
              </w:rPr>
            </w:pPr>
            <w:r w:rsidRPr="00D14721">
              <w:t>Très bon</w:t>
            </w:r>
          </w:p>
          <w:p w14:paraId="7CA1DF9F" w14:textId="77777777" w:rsidR="00E73C4B" w:rsidRPr="00D14721" w:rsidRDefault="00E73C4B" w:rsidP="00156617">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690CBF82" w14:textId="77777777" w:rsidR="00E73C4B" w:rsidRPr="00D14721" w:rsidRDefault="00E73C4B" w:rsidP="00156617">
            <w:pPr>
              <w:rPr>
                <w:rFonts w:cs="Arial"/>
              </w:rPr>
            </w:pPr>
            <w:r w:rsidRPr="00D14721">
              <w:t>Excellent</w:t>
            </w:r>
          </w:p>
          <w:p w14:paraId="291BDC08" w14:textId="77777777" w:rsidR="00E73C4B" w:rsidRPr="00D14721" w:rsidRDefault="00E73C4B" w:rsidP="00156617">
            <w:r w:rsidRPr="00D14721">
              <w:rPr>
                <w:rFonts w:ascii="Segoe UI Symbol" w:hAnsi="Segoe UI Symbol" w:cs="Segoe UI Symbol"/>
              </w:rPr>
              <w:t>☐</w:t>
            </w:r>
          </w:p>
        </w:tc>
      </w:tr>
      <w:tr w:rsidR="00E73C4B" w:rsidRPr="00D14721" w14:paraId="737D5772"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322ABE" w14:textId="77777777" w:rsidR="00E73C4B" w:rsidRPr="00D14721" w:rsidRDefault="00E73C4B" w:rsidP="00156617">
            <w:r w:rsidRPr="00D14721">
              <w:t xml:space="preserve">Éléments à l'appui de l'évaluation : </w:t>
            </w:r>
          </w:p>
          <w:p w14:paraId="7C9E7D42" w14:textId="77777777" w:rsidR="00E73C4B" w:rsidRPr="00D14721" w:rsidRDefault="00E73C4B" w:rsidP="00156617"/>
          <w:p w14:paraId="67383CB2" w14:textId="77777777" w:rsidR="00E73C4B" w:rsidRPr="00D14721" w:rsidRDefault="00E73C4B" w:rsidP="00156617"/>
        </w:tc>
      </w:tr>
    </w:tbl>
    <w:p w14:paraId="2A90A800" w14:textId="77777777" w:rsidR="00E73C4B" w:rsidRPr="00D14721" w:rsidRDefault="00E73C4B" w:rsidP="00E73C4B">
      <w:pPr>
        <w:pStyle w:val="Titre4"/>
      </w:pPr>
      <w:r w:rsidRPr="00D14721">
        <w:t>Critère d’évaluation n° 3 : Allaitement ou garde de jeunes enfants</w:t>
      </w:r>
    </w:p>
    <w:p w14:paraId="0A89DDF2" w14:textId="77777777" w:rsidR="00E73C4B" w:rsidRPr="00D14721" w:rsidRDefault="00E73C4B" w:rsidP="00E73C4B">
      <w:pPr>
        <w:rPr>
          <w:rFonts w:eastAsia="Times New Roman" w:cs="Arial"/>
          <w:sz w:val="16"/>
        </w:rPr>
      </w:pPr>
      <w:r w:rsidRPr="00D14721">
        <w:t>Le règlement du parlement permet aux parlementaires qui allaitent ou s'occupent de jeunes enfants de s'acquitter de leur mandat parlementaire, y compris le vote.</w:t>
      </w:r>
    </w:p>
    <w:p w14:paraId="66144D80" w14:textId="77777777" w:rsidR="00E73C4B" w:rsidRPr="00D14721" w:rsidRDefault="00E73C4B" w:rsidP="00E73C4B"/>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E73C4B" w:rsidRPr="00D14721" w14:paraId="48F83F60"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3EE175E" w14:textId="77777777" w:rsidR="00E73C4B" w:rsidRPr="00D14721" w:rsidRDefault="00E73C4B" w:rsidP="00156617">
            <w:pPr>
              <w:rPr>
                <w:rFonts w:cs="Arial"/>
              </w:rPr>
            </w:pPr>
            <w:r w:rsidRPr="00D14721">
              <w:t>Néant</w:t>
            </w:r>
          </w:p>
          <w:p w14:paraId="50035241" w14:textId="77777777" w:rsidR="00E73C4B" w:rsidRPr="00D14721" w:rsidRDefault="00E73C4B"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2A77710A" w14:textId="77777777" w:rsidR="00E73C4B" w:rsidRPr="00D14721" w:rsidRDefault="00E73C4B" w:rsidP="00156617">
            <w:pPr>
              <w:rPr>
                <w:rFonts w:cs="Arial"/>
              </w:rPr>
            </w:pPr>
            <w:r w:rsidRPr="00D14721">
              <w:t xml:space="preserve">Médiocre </w:t>
            </w:r>
          </w:p>
          <w:p w14:paraId="433855EA" w14:textId="77777777" w:rsidR="00E73C4B" w:rsidRPr="00D14721" w:rsidRDefault="00E73C4B"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6344BE35" w14:textId="77777777" w:rsidR="00E73C4B" w:rsidRPr="00D14721" w:rsidRDefault="00E73C4B" w:rsidP="00156617">
            <w:pPr>
              <w:rPr>
                <w:rFonts w:cs="Arial"/>
              </w:rPr>
            </w:pPr>
            <w:r w:rsidRPr="00D14721">
              <w:rPr>
                <w:rFonts w:cs="Arial"/>
              </w:rPr>
              <w:t>Moyen</w:t>
            </w:r>
          </w:p>
          <w:p w14:paraId="5F41ED0A" w14:textId="77777777" w:rsidR="00E73C4B" w:rsidRPr="00D14721" w:rsidRDefault="00E73C4B"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7F2F8726" w14:textId="77777777" w:rsidR="00E73C4B" w:rsidRPr="00D14721" w:rsidRDefault="00E73C4B" w:rsidP="00156617">
            <w:pPr>
              <w:rPr>
                <w:rFonts w:cs="Arial"/>
              </w:rPr>
            </w:pPr>
            <w:r w:rsidRPr="00D14721">
              <w:rPr>
                <w:rFonts w:cs="Arial"/>
              </w:rPr>
              <w:t>Bon</w:t>
            </w:r>
          </w:p>
          <w:p w14:paraId="5D60B9EF" w14:textId="77777777" w:rsidR="00E73C4B" w:rsidRPr="00D14721" w:rsidRDefault="00E73C4B"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62C9ECD9" w14:textId="77777777" w:rsidR="00E73C4B" w:rsidRPr="00D14721" w:rsidRDefault="00E73C4B" w:rsidP="00156617">
            <w:pPr>
              <w:rPr>
                <w:rFonts w:cs="Arial"/>
              </w:rPr>
            </w:pPr>
            <w:r w:rsidRPr="00D14721">
              <w:t>Très bon</w:t>
            </w:r>
          </w:p>
          <w:p w14:paraId="779037AA" w14:textId="77777777" w:rsidR="00E73C4B" w:rsidRPr="00D14721" w:rsidRDefault="00E73C4B" w:rsidP="00156617">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72B4781B" w14:textId="77777777" w:rsidR="00E73C4B" w:rsidRPr="00D14721" w:rsidRDefault="00E73C4B" w:rsidP="00156617">
            <w:pPr>
              <w:rPr>
                <w:rFonts w:cs="Arial"/>
              </w:rPr>
            </w:pPr>
            <w:r w:rsidRPr="00D14721">
              <w:t>Excellent</w:t>
            </w:r>
          </w:p>
          <w:p w14:paraId="10708DAF" w14:textId="77777777" w:rsidR="00E73C4B" w:rsidRPr="00D14721" w:rsidRDefault="00E73C4B" w:rsidP="00156617">
            <w:r w:rsidRPr="00D14721">
              <w:rPr>
                <w:rFonts w:ascii="Segoe UI Symbol" w:hAnsi="Segoe UI Symbol" w:cs="Segoe UI Symbol"/>
              </w:rPr>
              <w:t>☐</w:t>
            </w:r>
          </w:p>
        </w:tc>
      </w:tr>
      <w:tr w:rsidR="00E73C4B" w:rsidRPr="00D14721" w14:paraId="4AB9D4E7"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426AE" w14:textId="77777777" w:rsidR="00E73C4B" w:rsidRPr="00D14721" w:rsidRDefault="00E73C4B" w:rsidP="00156617">
            <w:r w:rsidRPr="00D14721">
              <w:t xml:space="preserve">Éléments à l'appui de l'évaluation : </w:t>
            </w:r>
          </w:p>
          <w:p w14:paraId="126CD521" w14:textId="77777777" w:rsidR="00E73C4B" w:rsidRPr="00D14721" w:rsidRDefault="00E73C4B" w:rsidP="00156617"/>
          <w:p w14:paraId="74390676" w14:textId="77777777" w:rsidR="00E73C4B" w:rsidRPr="00D14721" w:rsidRDefault="00E73C4B" w:rsidP="00156617"/>
        </w:tc>
      </w:tr>
    </w:tbl>
    <w:p w14:paraId="56297B75" w14:textId="77777777" w:rsidR="00E73C4B" w:rsidRPr="00D14721" w:rsidRDefault="00E73C4B" w:rsidP="00E73C4B"/>
    <w:p w14:paraId="107213AB" w14:textId="77777777" w:rsidR="00E73C4B" w:rsidRPr="00D14721" w:rsidRDefault="00E73C4B" w:rsidP="00E73C4B">
      <w:pPr>
        <w:pStyle w:val="Titre4"/>
      </w:pPr>
      <w:r w:rsidRPr="00D14721">
        <w:t xml:space="preserve">Critère d’évaluation n° 4 : Installations et services </w:t>
      </w:r>
      <w:r w:rsidR="00B957DC" w:rsidRPr="00D14721">
        <w:t>conç</w:t>
      </w:r>
      <w:r w:rsidR="00F41C4B" w:rsidRPr="00D14721">
        <w:t xml:space="preserve">us </w:t>
      </w:r>
      <w:r w:rsidRPr="00D14721">
        <w:t>pour les familles</w:t>
      </w:r>
    </w:p>
    <w:p w14:paraId="03694AA3" w14:textId="77777777" w:rsidR="00E73C4B" w:rsidRPr="00D14721" w:rsidRDefault="00E73C4B" w:rsidP="00E73C4B">
      <w:r w:rsidRPr="00D14721">
        <w:t xml:space="preserve">Le parlement offre aux parlementaires et au personnel parlementaire des installations et des services </w:t>
      </w:r>
      <w:r w:rsidR="00B957DC" w:rsidRPr="00D14721">
        <w:t>conçus</w:t>
      </w:r>
      <w:r w:rsidR="00F41C4B" w:rsidRPr="00D14721">
        <w:t xml:space="preserve"> </w:t>
      </w:r>
      <w:r w:rsidRPr="00D14721">
        <w:t xml:space="preserve">pour les familles, par exemple une salle d'allaitement, des espaces pour les familles et des structures de garde d'enfants.   </w:t>
      </w:r>
    </w:p>
    <w:p w14:paraId="7960F593" w14:textId="77777777" w:rsidR="00E73C4B" w:rsidRPr="00D14721" w:rsidRDefault="00E73C4B" w:rsidP="00E73C4B"/>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E73C4B" w:rsidRPr="00D14721" w14:paraId="130E6895"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7BA089C" w14:textId="77777777" w:rsidR="00E73C4B" w:rsidRPr="00D14721" w:rsidRDefault="00E73C4B" w:rsidP="00156617">
            <w:pPr>
              <w:rPr>
                <w:rFonts w:cs="Arial"/>
              </w:rPr>
            </w:pPr>
            <w:r w:rsidRPr="00D14721">
              <w:t>Néant</w:t>
            </w:r>
          </w:p>
          <w:p w14:paraId="56E8F40E" w14:textId="77777777" w:rsidR="00E73C4B" w:rsidRPr="00D14721" w:rsidRDefault="00E73C4B"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41E79D72" w14:textId="77777777" w:rsidR="00E73C4B" w:rsidRPr="00D14721" w:rsidRDefault="00E73C4B" w:rsidP="00156617">
            <w:pPr>
              <w:rPr>
                <w:rFonts w:cs="Arial"/>
              </w:rPr>
            </w:pPr>
            <w:r w:rsidRPr="00D14721">
              <w:t xml:space="preserve">Médiocre </w:t>
            </w:r>
          </w:p>
          <w:p w14:paraId="6D8FE884" w14:textId="77777777" w:rsidR="00E73C4B" w:rsidRPr="00D14721" w:rsidRDefault="00E73C4B"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44D80272" w14:textId="77777777" w:rsidR="00E73C4B" w:rsidRPr="00D14721" w:rsidRDefault="00E73C4B" w:rsidP="00156617">
            <w:pPr>
              <w:rPr>
                <w:rFonts w:cs="Arial"/>
              </w:rPr>
            </w:pPr>
            <w:r w:rsidRPr="00D14721">
              <w:rPr>
                <w:rFonts w:cs="Arial"/>
              </w:rPr>
              <w:t>Moyen</w:t>
            </w:r>
          </w:p>
          <w:p w14:paraId="2DE297DF" w14:textId="77777777" w:rsidR="00E73C4B" w:rsidRPr="00D14721" w:rsidRDefault="00E73C4B"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68E91249" w14:textId="77777777" w:rsidR="00E73C4B" w:rsidRPr="00D14721" w:rsidRDefault="00E73C4B" w:rsidP="00156617">
            <w:pPr>
              <w:rPr>
                <w:rFonts w:cs="Arial"/>
              </w:rPr>
            </w:pPr>
            <w:r w:rsidRPr="00D14721">
              <w:rPr>
                <w:rFonts w:cs="Arial"/>
              </w:rPr>
              <w:t>Bon</w:t>
            </w:r>
          </w:p>
          <w:p w14:paraId="506F7746" w14:textId="77777777" w:rsidR="00E73C4B" w:rsidRPr="00D14721" w:rsidRDefault="00E73C4B"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5F3FA2D4" w14:textId="77777777" w:rsidR="00E73C4B" w:rsidRPr="00D14721" w:rsidRDefault="00E73C4B" w:rsidP="00156617">
            <w:pPr>
              <w:rPr>
                <w:rFonts w:cs="Arial"/>
              </w:rPr>
            </w:pPr>
            <w:r w:rsidRPr="00D14721">
              <w:t>Très bon</w:t>
            </w:r>
          </w:p>
          <w:p w14:paraId="27567629" w14:textId="77777777" w:rsidR="00E73C4B" w:rsidRPr="00D14721" w:rsidRDefault="00E73C4B" w:rsidP="00156617">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3AFFBFE3" w14:textId="77777777" w:rsidR="00E73C4B" w:rsidRPr="00D14721" w:rsidRDefault="00E73C4B" w:rsidP="00156617">
            <w:pPr>
              <w:rPr>
                <w:rFonts w:cs="Arial"/>
              </w:rPr>
            </w:pPr>
            <w:r w:rsidRPr="00D14721">
              <w:t>Excellent</w:t>
            </w:r>
          </w:p>
          <w:p w14:paraId="00713BC3" w14:textId="77777777" w:rsidR="00E73C4B" w:rsidRPr="00D14721" w:rsidRDefault="00E73C4B" w:rsidP="00156617">
            <w:r w:rsidRPr="00D14721">
              <w:rPr>
                <w:rFonts w:ascii="Segoe UI Symbol" w:hAnsi="Segoe UI Symbol" w:cs="Segoe UI Symbol"/>
              </w:rPr>
              <w:t>☐</w:t>
            </w:r>
          </w:p>
        </w:tc>
      </w:tr>
      <w:tr w:rsidR="00E73C4B" w:rsidRPr="00D14721" w14:paraId="54D7D964"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CECD36" w14:textId="77777777" w:rsidR="00E73C4B" w:rsidRPr="00D14721" w:rsidRDefault="00E73C4B" w:rsidP="00156617">
            <w:r w:rsidRPr="00D14721">
              <w:t xml:space="preserve">Éléments à l'appui de l'évaluation : </w:t>
            </w:r>
          </w:p>
          <w:p w14:paraId="5AA34E9E" w14:textId="77777777" w:rsidR="00E73C4B" w:rsidRPr="00D14721" w:rsidRDefault="00E73C4B" w:rsidP="00156617"/>
          <w:p w14:paraId="460BFC38" w14:textId="77777777" w:rsidR="00E73C4B" w:rsidRPr="00D14721" w:rsidRDefault="00E73C4B" w:rsidP="00156617"/>
        </w:tc>
      </w:tr>
    </w:tbl>
    <w:p w14:paraId="77BBC47D" w14:textId="77777777" w:rsidR="00E73C4B" w:rsidRPr="00D14721" w:rsidRDefault="00E73C4B" w:rsidP="00E73C4B">
      <w:pPr>
        <w:rPr>
          <w:lang w:eastAsia="en-GB"/>
        </w:rPr>
      </w:pPr>
    </w:p>
    <w:p w14:paraId="796DF694" w14:textId="38812EDF" w:rsidR="00E73C4B" w:rsidRPr="00D14721" w:rsidRDefault="00E73C4B" w:rsidP="00E73C4B">
      <w:pPr>
        <w:pStyle w:val="Titre4"/>
      </w:pPr>
      <w:r w:rsidRPr="00D14721">
        <w:t xml:space="preserve">Critère d’évaluation n° 5 : Équilibre entre vie personnelle et </w:t>
      </w:r>
      <w:r w:rsidR="00A23B34">
        <w:t xml:space="preserve">vie </w:t>
      </w:r>
      <w:r w:rsidRPr="00D14721">
        <w:t>professionnelle</w:t>
      </w:r>
    </w:p>
    <w:p w14:paraId="0A997FAF" w14:textId="77777777" w:rsidR="00E73C4B" w:rsidRPr="00D14721" w:rsidRDefault="00E73C4B" w:rsidP="00E73C4B">
      <w:r w:rsidRPr="00D14721">
        <w:t xml:space="preserve">Le parlement prend des mesures destinées à faciliter l'équilibre entre la vie personnelle et la vie professionnelle des parlementaires et du personnel parlementaire, notamment en veillant à la régularité des horaires et des périodes de réunion, en proposant des horaires de travail souples et en offrant des possibilités de participation à distance et de travail à domicile.   </w:t>
      </w:r>
    </w:p>
    <w:p w14:paraId="3DC4100D" w14:textId="77777777" w:rsidR="00E73C4B" w:rsidRPr="00D14721" w:rsidRDefault="00E73C4B" w:rsidP="00E73C4B"/>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E73C4B" w:rsidRPr="00D14721" w14:paraId="4CEBD71A"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5A89465" w14:textId="77777777" w:rsidR="00E73C4B" w:rsidRPr="00D14721" w:rsidRDefault="00E73C4B" w:rsidP="00156617">
            <w:pPr>
              <w:rPr>
                <w:rFonts w:cs="Arial"/>
              </w:rPr>
            </w:pPr>
            <w:r w:rsidRPr="00D14721">
              <w:t>Néant</w:t>
            </w:r>
          </w:p>
          <w:p w14:paraId="4F51C015" w14:textId="77777777" w:rsidR="00E73C4B" w:rsidRPr="00D14721" w:rsidRDefault="00E73C4B"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0E42B3DB" w14:textId="77777777" w:rsidR="00E73C4B" w:rsidRPr="00D14721" w:rsidRDefault="00E73C4B" w:rsidP="00156617">
            <w:pPr>
              <w:rPr>
                <w:rFonts w:cs="Arial"/>
              </w:rPr>
            </w:pPr>
            <w:r w:rsidRPr="00D14721">
              <w:t xml:space="preserve">Médiocre </w:t>
            </w:r>
          </w:p>
          <w:p w14:paraId="2FFAA450" w14:textId="77777777" w:rsidR="00E73C4B" w:rsidRPr="00D14721" w:rsidRDefault="00E73C4B"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3D7E5D0A" w14:textId="77777777" w:rsidR="00E73C4B" w:rsidRPr="00D14721" w:rsidRDefault="00E73C4B" w:rsidP="00156617">
            <w:pPr>
              <w:rPr>
                <w:rFonts w:cs="Arial"/>
              </w:rPr>
            </w:pPr>
            <w:r w:rsidRPr="00D14721">
              <w:rPr>
                <w:rFonts w:cs="Arial"/>
              </w:rPr>
              <w:t>Moyen</w:t>
            </w:r>
          </w:p>
          <w:p w14:paraId="33C42984" w14:textId="77777777" w:rsidR="00E73C4B" w:rsidRPr="00D14721" w:rsidRDefault="00E73C4B"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0779817A" w14:textId="77777777" w:rsidR="00E73C4B" w:rsidRPr="00D14721" w:rsidRDefault="00E73C4B" w:rsidP="00156617">
            <w:pPr>
              <w:rPr>
                <w:rFonts w:cs="Arial"/>
              </w:rPr>
            </w:pPr>
            <w:r w:rsidRPr="00D14721">
              <w:rPr>
                <w:rFonts w:cs="Arial"/>
              </w:rPr>
              <w:t>Bon</w:t>
            </w:r>
          </w:p>
          <w:p w14:paraId="5B68D499" w14:textId="77777777" w:rsidR="00E73C4B" w:rsidRPr="00D14721" w:rsidRDefault="00E73C4B"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5FB0E306" w14:textId="77777777" w:rsidR="00E73C4B" w:rsidRPr="00D14721" w:rsidRDefault="00E73C4B" w:rsidP="00156617">
            <w:pPr>
              <w:rPr>
                <w:rFonts w:cs="Arial"/>
              </w:rPr>
            </w:pPr>
            <w:r w:rsidRPr="00D14721">
              <w:t>Très bon</w:t>
            </w:r>
          </w:p>
          <w:p w14:paraId="2002372C" w14:textId="77777777" w:rsidR="00E73C4B" w:rsidRPr="00D14721" w:rsidRDefault="00E73C4B" w:rsidP="00156617">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100B4C3C" w14:textId="77777777" w:rsidR="00E73C4B" w:rsidRPr="00D14721" w:rsidRDefault="00E73C4B" w:rsidP="00156617">
            <w:pPr>
              <w:rPr>
                <w:rFonts w:cs="Arial"/>
              </w:rPr>
            </w:pPr>
            <w:r w:rsidRPr="00D14721">
              <w:t>Excellent</w:t>
            </w:r>
          </w:p>
          <w:p w14:paraId="1C784495" w14:textId="77777777" w:rsidR="00E73C4B" w:rsidRPr="00D14721" w:rsidRDefault="00E73C4B" w:rsidP="00156617">
            <w:r w:rsidRPr="00D14721">
              <w:rPr>
                <w:rFonts w:ascii="Segoe UI Symbol" w:hAnsi="Segoe UI Symbol" w:cs="Segoe UI Symbol"/>
              </w:rPr>
              <w:t>☐</w:t>
            </w:r>
          </w:p>
        </w:tc>
      </w:tr>
      <w:tr w:rsidR="00E73C4B" w:rsidRPr="00D14721" w14:paraId="0EB895AA"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7EB85" w14:textId="77777777" w:rsidR="00E73C4B" w:rsidRPr="00D14721" w:rsidRDefault="00E73C4B" w:rsidP="00156617">
            <w:r w:rsidRPr="00D14721">
              <w:t xml:space="preserve">Éléments à l'appui de l'évaluation : </w:t>
            </w:r>
          </w:p>
          <w:p w14:paraId="5B031672" w14:textId="77777777" w:rsidR="00E73C4B" w:rsidRPr="00D14721" w:rsidRDefault="00E73C4B" w:rsidP="00156617"/>
          <w:p w14:paraId="2080F80C" w14:textId="77777777" w:rsidR="00E73C4B" w:rsidRPr="00D14721" w:rsidRDefault="00E73C4B" w:rsidP="00156617"/>
        </w:tc>
      </w:tr>
    </w:tbl>
    <w:p w14:paraId="5A52622A" w14:textId="77777777" w:rsidR="00E341D1" w:rsidRPr="00D14721" w:rsidRDefault="00E341D1" w:rsidP="00546C0C">
      <w:pPr>
        <w:pStyle w:val="section-title"/>
      </w:pPr>
    </w:p>
    <w:p w14:paraId="258CC312" w14:textId="77777777" w:rsidR="00E73C4B" w:rsidRPr="00D14721" w:rsidRDefault="00E73C4B" w:rsidP="00546C0C">
      <w:pPr>
        <w:pStyle w:val="section-title"/>
      </w:pPr>
      <w:r w:rsidRPr="00D14721">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780"/>
      </w:tblGrid>
      <w:tr w:rsidR="00E73C4B" w:rsidRPr="00D14721" w14:paraId="1FA6F8B6" w14:textId="77777777" w:rsidTr="0015661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4244CE7" w14:textId="77777777" w:rsidR="00E73C4B" w:rsidRPr="00D14721" w:rsidRDefault="00E73C4B" w:rsidP="00156617">
            <w:r w:rsidRPr="00D14721">
              <w:rPr>
                <w:i/>
                <w:color w:val="000000"/>
              </w:rPr>
              <w:t>Dans cet encadré, notez les recommandations et les idées visant à renforcer les règles et la pratique dans ce domaine.</w:t>
            </w:r>
          </w:p>
        </w:tc>
      </w:tr>
    </w:tbl>
    <w:p w14:paraId="63A019D5" w14:textId="77777777" w:rsidR="00E73C4B" w:rsidRPr="00D14721" w:rsidRDefault="00E73C4B" w:rsidP="00546C0C">
      <w:pPr>
        <w:pStyle w:val="section-title"/>
      </w:pPr>
      <w:r w:rsidRPr="00D14721">
        <w:t xml:space="preserve">Sources </w:t>
      </w:r>
      <w:r w:rsidR="00E008D2" w:rsidRPr="00D14721">
        <w:t>et autre documentation</w:t>
      </w:r>
    </w:p>
    <w:p w14:paraId="100BF7AB" w14:textId="1DBAFB63" w:rsidR="00E73C4B" w:rsidRPr="004966DC" w:rsidRDefault="00E73C4B" w:rsidP="00E73C4B">
      <w:pPr>
        <w:pStyle w:val="Paragraphedeliste"/>
        <w:rPr>
          <w:rFonts w:eastAsia="Arial" w:cs="Arial"/>
          <w:color w:val="000000"/>
          <w:lang w:val="en-US"/>
        </w:rPr>
      </w:pPr>
      <w:r w:rsidRPr="004966DC">
        <w:rPr>
          <w:color w:val="000000"/>
          <w:lang w:val="en-US"/>
        </w:rPr>
        <w:t xml:space="preserve">Association parlementaire du Commonwealth (APC), </w:t>
      </w:r>
      <w:hyperlink r:id="rId17">
        <w:r w:rsidRPr="004966DC">
          <w:rPr>
            <w:i/>
            <w:iCs/>
            <w:color w:val="0563C1"/>
            <w:u w:val="single"/>
            <w:lang w:val="en-US"/>
          </w:rPr>
          <w:t>Recommended Benchmarks for Democratic Legislatures</w:t>
        </w:r>
      </w:hyperlink>
      <w:r w:rsidRPr="004966DC">
        <w:rPr>
          <w:color w:val="000000"/>
          <w:lang w:val="en-US"/>
        </w:rPr>
        <w:t xml:space="preserve"> (2018).</w:t>
      </w:r>
    </w:p>
    <w:p w14:paraId="36291531" w14:textId="77777777" w:rsidR="00D2713B" w:rsidRPr="00D14721" w:rsidRDefault="00D2713B" w:rsidP="00D2713B">
      <w:pPr>
        <w:pStyle w:val="Paragraphedeliste"/>
        <w:numPr>
          <w:ilvl w:val="0"/>
          <w:numId w:val="5"/>
        </w:numPr>
        <w:rPr>
          <w:rFonts w:eastAsia="Arial" w:cs="Arial"/>
        </w:rPr>
      </w:pPr>
      <w:r w:rsidRPr="00D14721">
        <w:t xml:space="preserve">Organisation </w:t>
      </w:r>
      <w:r w:rsidR="00FA04CC" w:rsidRPr="00D14721">
        <w:t xml:space="preserve">pour la coopération et le développement économiques </w:t>
      </w:r>
      <w:r w:rsidRPr="00D14721">
        <w:t>(OCD</w:t>
      </w:r>
      <w:r w:rsidR="00FA04CC" w:rsidRPr="00D14721">
        <w:t>E</w:t>
      </w:r>
      <w:r w:rsidRPr="00D14721">
        <w:t xml:space="preserve">), </w:t>
      </w:r>
      <w:hyperlink r:id="rId18" w:history="1">
        <w:r w:rsidRPr="00D14721">
          <w:rPr>
            <w:rStyle w:val="Lienhypertexte"/>
            <w:i/>
            <w:iCs/>
          </w:rPr>
          <w:t>Toolkit for Mainstreaming and Implementing Gender Equality</w:t>
        </w:r>
      </w:hyperlink>
      <w:r w:rsidRPr="00D14721" w:rsidDel="00AD0EA6">
        <w:t xml:space="preserve"> </w:t>
      </w:r>
      <w:r w:rsidRPr="00D14721">
        <w:t>(2018).</w:t>
      </w:r>
    </w:p>
    <w:p w14:paraId="611EC9DF" w14:textId="77777777" w:rsidR="00D2713B" w:rsidRPr="004966DC" w:rsidRDefault="00D2713B" w:rsidP="00D2713B">
      <w:pPr>
        <w:pStyle w:val="Paragraphedeliste"/>
        <w:numPr>
          <w:ilvl w:val="0"/>
          <w:numId w:val="5"/>
        </w:numPr>
        <w:rPr>
          <w:rFonts w:eastAsia="Arial" w:cs="Arial"/>
          <w:color w:val="000000"/>
          <w:lang w:val="en-US"/>
        </w:rPr>
      </w:pPr>
      <w:r w:rsidRPr="004966DC">
        <w:rPr>
          <w:lang w:val="en-US"/>
        </w:rPr>
        <w:t>Parl</w:t>
      </w:r>
      <w:r w:rsidR="00E008D2" w:rsidRPr="004966DC">
        <w:rPr>
          <w:lang w:val="en-US"/>
        </w:rPr>
        <w:t>e</w:t>
      </w:r>
      <w:r w:rsidRPr="004966DC">
        <w:rPr>
          <w:lang w:val="en-US"/>
        </w:rPr>
        <w:t>ment</w:t>
      </w:r>
      <w:r w:rsidR="00E008D2" w:rsidRPr="004966DC">
        <w:rPr>
          <w:lang w:val="en-US"/>
        </w:rPr>
        <w:t xml:space="preserve"> britannique</w:t>
      </w:r>
      <w:r w:rsidRPr="004966DC">
        <w:rPr>
          <w:lang w:val="en-US"/>
        </w:rPr>
        <w:t>,</w:t>
      </w:r>
      <w:r w:rsidRPr="004966DC">
        <w:rPr>
          <w:color w:val="1155CC"/>
          <w:lang w:val="en-US"/>
        </w:rPr>
        <w:t xml:space="preserve"> </w:t>
      </w:r>
      <w:hyperlink r:id="rId19">
        <w:r w:rsidRPr="004966DC">
          <w:rPr>
            <w:i/>
            <w:color w:val="1155CC"/>
            <w:u w:val="single"/>
            <w:lang w:val="en-US"/>
          </w:rPr>
          <w:t>Using the Independent Complaints and Grievance Scheme (ICGS): guide for complainants</w:t>
        </w:r>
      </w:hyperlink>
      <w:r w:rsidRPr="004966DC">
        <w:rPr>
          <w:lang w:val="en-US"/>
        </w:rPr>
        <w:t>.</w:t>
      </w:r>
    </w:p>
    <w:p w14:paraId="75335E61" w14:textId="77777777" w:rsidR="00E008D2" w:rsidRPr="00D14721" w:rsidRDefault="00E008D2" w:rsidP="00E008D2">
      <w:pPr>
        <w:pStyle w:val="Paragraphedeliste"/>
        <w:numPr>
          <w:ilvl w:val="0"/>
          <w:numId w:val="5"/>
        </w:numPr>
        <w:rPr>
          <w:rFonts w:eastAsia="Arial" w:cs="Arial"/>
          <w:color w:val="000000"/>
        </w:rPr>
      </w:pPr>
      <w:r w:rsidRPr="00D14721">
        <w:rPr>
          <w:color w:val="000000"/>
        </w:rPr>
        <w:t>UIP,</w:t>
      </w:r>
      <w:hyperlink r:id="rId20">
        <w:r w:rsidRPr="00D14721">
          <w:rPr>
            <w:color w:val="000000"/>
          </w:rPr>
          <w:t xml:space="preserve"> </w:t>
        </w:r>
      </w:hyperlink>
      <w:hyperlink r:id="rId21">
        <w:r w:rsidRPr="00D14721">
          <w:rPr>
            <w:i/>
            <w:color w:val="1155CC"/>
            <w:u w:val="single"/>
          </w:rPr>
          <w:t>Lignes directrices pour l’élimination du sexisme, du harcèlement et de la violence à l’égard des femmes dans les parlements</w:t>
        </w:r>
      </w:hyperlink>
      <w:r w:rsidRPr="00D14721">
        <w:rPr>
          <w:iCs/>
        </w:rPr>
        <w:t xml:space="preserve"> (2019).</w:t>
      </w:r>
    </w:p>
    <w:p w14:paraId="4EB89E6E" w14:textId="77777777" w:rsidR="00E008D2" w:rsidRPr="00D14721" w:rsidRDefault="00E008D2" w:rsidP="00E008D2">
      <w:pPr>
        <w:pStyle w:val="Paragraphedeliste"/>
        <w:numPr>
          <w:ilvl w:val="0"/>
          <w:numId w:val="0"/>
        </w:numPr>
        <w:ind w:left="720"/>
        <w:rPr>
          <w:rFonts w:eastAsia="Arial" w:cs="Arial"/>
          <w:color w:val="000000"/>
        </w:rPr>
      </w:pPr>
    </w:p>
    <w:p w14:paraId="1C4E08DC" w14:textId="77777777" w:rsidR="00D2713B" w:rsidRPr="00D14721" w:rsidRDefault="00E008D2" w:rsidP="00546C0C">
      <w:pPr>
        <w:pStyle w:val="Dimension"/>
      </w:pPr>
      <w:r w:rsidRPr="00D14721">
        <w:t>Aspect</w:t>
      </w:r>
      <w:r w:rsidR="00D2713B" w:rsidRPr="00D14721">
        <w:t xml:space="preserve"> 5.2.3</w:t>
      </w:r>
      <w:r w:rsidRPr="00D14721">
        <w:t> </w:t>
      </w:r>
      <w:r w:rsidR="00D2713B" w:rsidRPr="00D14721">
        <w:t xml:space="preserve">: </w:t>
      </w:r>
      <w:r w:rsidRPr="00D14721">
        <w:t xml:space="preserve">Lutte contre le </w:t>
      </w:r>
      <w:r w:rsidR="00D2713B" w:rsidRPr="00D14721">
        <w:t>sexism</w:t>
      </w:r>
      <w:r w:rsidRPr="00D14721">
        <w:t>e</w:t>
      </w:r>
      <w:r w:rsidR="00D2713B" w:rsidRPr="00D14721">
        <w:t xml:space="preserve">, </w:t>
      </w:r>
      <w:r w:rsidRPr="00D14721">
        <w:t xml:space="preserve">le harcèlement et la </w:t>
      </w:r>
      <w:r w:rsidR="00D2713B" w:rsidRPr="00D14721">
        <w:t xml:space="preserve">violence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8780"/>
      </w:tblGrid>
      <w:tr w:rsidR="00D2713B" w:rsidRPr="00D14721" w14:paraId="422EA6CE" w14:textId="77777777" w:rsidTr="00156617">
        <w:tc>
          <w:tcPr>
            <w:tcW w:w="9006" w:type="dxa"/>
            <w:shd w:val="clear" w:color="auto" w:fill="EEEEEE"/>
          </w:tcPr>
          <w:p w14:paraId="78B69737" w14:textId="77777777" w:rsidR="00895D76" w:rsidRPr="00D14721" w:rsidRDefault="00895D76" w:rsidP="00895D76">
            <w:pPr>
              <w:rPr>
                <w:rFonts w:eastAsia="Arial" w:cs="Arial"/>
              </w:rPr>
            </w:pPr>
            <w:r w:rsidRPr="00D14721">
              <w:rPr>
                <w:sz w:val="24"/>
              </w:rPr>
              <w:t>Cet aspect s’applique aux éléments suivants :</w:t>
            </w:r>
          </w:p>
          <w:p w14:paraId="0FD41B22" w14:textId="77777777" w:rsidR="00895D76" w:rsidRPr="00D14721" w:rsidRDefault="00895D76" w:rsidP="00895D76">
            <w:pPr>
              <w:pStyle w:val="Paragraphedeliste"/>
              <w:rPr>
                <w:sz w:val="24"/>
              </w:rPr>
            </w:pPr>
            <w:r w:rsidRPr="00D14721">
              <w:rPr>
                <w:sz w:val="24"/>
              </w:rPr>
              <w:t>Indicateur 5.2 : Pratiques institutionnelles inclusives</w:t>
            </w:r>
          </w:p>
          <w:p w14:paraId="5721AE75" w14:textId="77777777" w:rsidR="00D2713B" w:rsidRPr="00D14721" w:rsidRDefault="00895D76" w:rsidP="00895D76">
            <w:pPr>
              <w:pStyle w:val="Paragraphedeliste"/>
              <w:rPr>
                <w:sz w:val="24"/>
              </w:rPr>
            </w:pPr>
            <w:r w:rsidRPr="00D14721">
              <w:rPr>
                <w:sz w:val="24"/>
              </w:rPr>
              <w:t xml:space="preserve">Cible </w:t>
            </w:r>
            <w:r w:rsidR="00FA04CC" w:rsidRPr="00D14721">
              <w:rPr>
                <w:sz w:val="24"/>
              </w:rPr>
              <w:t>5 :</w:t>
            </w:r>
            <w:r w:rsidRPr="00D14721">
              <w:rPr>
                <w:sz w:val="24"/>
              </w:rPr>
              <w:t xml:space="preserve"> Des parlements inclusifs</w:t>
            </w:r>
          </w:p>
        </w:tc>
      </w:tr>
    </w:tbl>
    <w:p w14:paraId="12C200AF" w14:textId="77777777" w:rsidR="00E008D2" w:rsidRPr="00D14721" w:rsidRDefault="00E008D2" w:rsidP="00546C0C">
      <w:pPr>
        <w:pStyle w:val="section-title"/>
      </w:pPr>
      <w:r w:rsidRPr="00D14721">
        <w:t>À propos de l’aspect</w:t>
      </w:r>
    </w:p>
    <w:p w14:paraId="37A0F6DE" w14:textId="77777777" w:rsidR="00E056F5" w:rsidRPr="00D14721" w:rsidRDefault="00E056F5" w:rsidP="00E056F5">
      <w:r w:rsidRPr="00D14721">
        <w:t>Cet aspect concerne le rôle joué par le parlement dans la prévention et la lutte contre le sexisme, le harcèlement et la violence à l'encontre des parlementaires et du personnel parlementaire.</w:t>
      </w:r>
    </w:p>
    <w:p w14:paraId="352B6C74" w14:textId="77777777" w:rsidR="00E056F5" w:rsidRPr="00D14721" w:rsidRDefault="00E056F5" w:rsidP="00E056F5">
      <w:r w:rsidRPr="00D14721">
        <w:t>Le sexisme, le harcèlement et la violence, particulièrement à l'encontre des femmes, empoisonnent les environnements de travail dans le monde entier. Aucun lieu ni environnement de travail n'est à l'abri de comportements aussi inacceptables.</w:t>
      </w:r>
    </w:p>
    <w:p w14:paraId="5DEC74C2" w14:textId="77777777" w:rsidR="00E056F5" w:rsidRPr="00D14721" w:rsidRDefault="00E056F5" w:rsidP="00E056F5"/>
    <w:p w14:paraId="53480F6A" w14:textId="77777777" w:rsidR="00E056F5" w:rsidRPr="00D14721" w:rsidRDefault="00E056F5" w:rsidP="00E056F5">
      <w:r w:rsidRPr="00D14721">
        <w:t>Les parlements n'y font pas exception. Il y va de l'intérêt de tous de préserver l'environnement de travail des comportements et de la violence sexistes. Ce</w:t>
      </w:r>
      <w:r w:rsidR="00AD1FCB" w:rsidRPr="00D14721">
        <w:t xml:space="preserve">tte nécessité s’applique aux </w:t>
      </w:r>
      <w:r w:rsidRPr="00D14721">
        <w:t xml:space="preserve">hommes, </w:t>
      </w:r>
      <w:r w:rsidR="00AD1FCB" w:rsidRPr="00D14721">
        <w:t xml:space="preserve">aux </w:t>
      </w:r>
      <w:r w:rsidRPr="00D14721">
        <w:t xml:space="preserve">femmes et </w:t>
      </w:r>
      <w:r w:rsidR="00AD1FCB" w:rsidRPr="00D14721">
        <w:t xml:space="preserve">à </w:t>
      </w:r>
      <w:r w:rsidRPr="00D14721">
        <w:t>toutes les catégories de personnel travaillant au parlement (parlementaires, personnel parlementaire, assistants, etc.), ainsi qu'à toutes les formes de harcèlement, notamment la violence fondée sur le genre.</w:t>
      </w:r>
    </w:p>
    <w:p w14:paraId="0E8446A7" w14:textId="77777777" w:rsidR="00E056F5" w:rsidRPr="00D14721" w:rsidRDefault="00E056F5" w:rsidP="00E056F5"/>
    <w:p w14:paraId="039732CA" w14:textId="77777777" w:rsidR="00E056F5" w:rsidRPr="00D14721" w:rsidRDefault="00E056F5" w:rsidP="00E056F5">
      <w:r w:rsidRPr="00D14721">
        <w:t>Le parlement devrait adopter en matière d'environnement de travail une politique de lutte contre le sexisme, le harcèlement et la violence s’exerçant dans ses murs conforme aux obligations nationales et internationales et aux bonnes pratiques.</w:t>
      </w:r>
      <w:r w:rsidR="00E3372F" w:rsidRPr="00D14721">
        <w:t xml:space="preserve"> </w:t>
      </w:r>
      <w:r w:rsidRPr="00D14721">
        <w:t>Les objectifs de cette politique devraient être clairement énoncés, éventuellement en soulignant le caractère intolérable et illégal du sexisme, du harcèlement et de la violence au parlement et en affirmant l'engagement des dirigeants de l'institution à prévenir et éradiquer ces comportements.</w:t>
      </w:r>
    </w:p>
    <w:p w14:paraId="5A8412BF" w14:textId="77777777" w:rsidR="00E3372F" w:rsidRPr="00D14721" w:rsidRDefault="00E3372F" w:rsidP="00E056F5"/>
    <w:p w14:paraId="17D01F67" w14:textId="77777777" w:rsidR="00E056F5" w:rsidRPr="00D14721" w:rsidRDefault="00E056F5" w:rsidP="00E056F5">
      <w:r w:rsidRPr="00D14721">
        <w:t>Cette politique devrait aussi protéger le personnel des tentatives de harcèlement et de violence perpétrées par des tiers.</w:t>
      </w:r>
      <w:r w:rsidR="00E3372F" w:rsidRPr="00D14721">
        <w:t xml:space="preserve"> </w:t>
      </w:r>
      <w:r w:rsidRPr="00D14721">
        <w:t>Les parlementaires, mais parfois également le personnel parlementaire, peuvent faire l'objet de menaces, de remarques et de violence, y compris de nature sexiste ou sexuelle, lors de réunions ou d'événements sociaux, par courrier, courriel ou messages envoyés sur une application de messagerie mobile, voire par l'intermédiaire des médias ou des réseaux sociaux.</w:t>
      </w:r>
    </w:p>
    <w:p w14:paraId="2651691E" w14:textId="77777777" w:rsidR="00E3372F" w:rsidRPr="00D14721" w:rsidRDefault="00E3372F" w:rsidP="00E056F5"/>
    <w:p w14:paraId="1C3A6E4E" w14:textId="77777777" w:rsidR="00D2713B" w:rsidRPr="00D14721" w:rsidRDefault="00E056F5" w:rsidP="00E056F5">
      <w:r w:rsidRPr="00D14721">
        <w:t xml:space="preserve">Les instances habilitées à </w:t>
      </w:r>
      <w:r w:rsidR="00AD1FCB" w:rsidRPr="00D14721">
        <w:t>entendre</w:t>
      </w:r>
      <w:r w:rsidRPr="00D14721">
        <w:t xml:space="preserve"> les plaintes et à leur donner suite doivent être clairement définies.</w:t>
      </w:r>
      <w:r w:rsidR="00D2713B" w:rsidRPr="00D14721">
        <w:t xml:space="preserve"> </w:t>
      </w:r>
      <w:r w:rsidRPr="00D14721">
        <w:t>Ce mécanisme de dépôt de plaintes doit quoi qu'il en soit être :</w:t>
      </w:r>
    </w:p>
    <w:p w14:paraId="08A667FA" w14:textId="77777777" w:rsidR="00D2713B" w:rsidRPr="00D14721" w:rsidRDefault="00D2713B" w:rsidP="00D2713B">
      <w:pPr>
        <w:pStyle w:val="Paragraphedeliste"/>
      </w:pPr>
      <w:r w:rsidRPr="00D14721">
        <w:t>confidenti</w:t>
      </w:r>
      <w:r w:rsidR="00E056F5" w:rsidRPr="00D14721">
        <w:t>e</w:t>
      </w:r>
      <w:r w:rsidRPr="00D14721">
        <w:t>l</w:t>
      </w:r>
    </w:p>
    <w:p w14:paraId="72EF99CA" w14:textId="77777777" w:rsidR="00D2713B" w:rsidRPr="00D14721" w:rsidRDefault="00E056F5" w:rsidP="00D2713B">
      <w:pPr>
        <w:pStyle w:val="Paragraphedeliste"/>
      </w:pPr>
      <w:r w:rsidRPr="00D14721">
        <w:t>à l’é</w:t>
      </w:r>
      <w:r w:rsidR="009E4AA0" w:rsidRPr="00D14721">
        <w:t xml:space="preserve">coute </w:t>
      </w:r>
      <w:r w:rsidRPr="00D14721">
        <w:t>des plaignants</w:t>
      </w:r>
    </w:p>
    <w:p w14:paraId="6CEBCE85" w14:textId="77777777" w:rsidR="00D2713B" w:rsidRPr="00D14721" w:rsidRDefault="00E056F5" w:rsidP="00D2713B">
      <w:pPr>
        <w:pStyle w:val="Paragraphedeliste"/>
      </w:pPr>
      <w:r w:rsidRPr="00D14721">
        <w:t xml:space="preserve">équitable pour toutes les </w:t>
      </w:r>
      <w:r w:rsidR="00D2713B" w:rsidRPr="00D14721">
        <w:t>parties</w:t>
      </w:r>
    </w:p>
    <w:p w14:paraId="2D5EB323" w14:textId="77777777" w:rsidR="00D2713B" w:rsidRPr="00D14721" w:rsidRDefault="00E056F5" w:rsidP="00D2713B">
      <w:pPr>
        <w:pStyle w:val="Paragraphedeliste"/>
      </w:pPr>
      <w:r w:rsidRPr="00D14721">
        <w:t>fondé sur une enquête approfondie, impartiale et exhaustive</w:t>
      </w:r>
    </w:p>
    <w:p w14:paraId="250B1212" w14:textId="77777777" w:rsidR="00D2713B" w:rsidRPr="00D14721" w:rsidRDefault="00E056F5" w:rsidP="00D2713B">
      <w:pPr>
        <w:pStyle w:val="Paragraphedeliste"/>
      </w:pPr>
      <w:r w:rsidRPr="00D14721">
        <w:t>diligent.</w:t>
      </w:r>
    </w:p>
    <w:p w14:paraId="34C0F38A" w14:textId="77777777" w:rsidR="00D2713B" w:rsidRPr="00D14721" w:rsidRDefault="00D2713B" w:rsidP="00D2713B"/>
    <w:p w14:paraId="694BB50B" w14:textId="77777777" w:rsidR="00D2713B" w:rsidRPr="00D14721" w:rsidRDefault="00671FCE" w:rsidP="00671FCE">
      <w:r w:rsidRPr="00D14721">
        <w:t>La mise en œuvre passe par l'instauration de mesures visant à proposer des informations et des formations, à faire œuvre de sensibilisation et à offrir des services spécialisés aux victimes d'actes sexistes, de harcèlement et de violence au travail. Il est également indispensable de suivre continuellement et d'évaluer régulièrement ces initiatives.</w:t>
      </w:r>
    </w:p>
    <w:p w14:paraId="186D64E1" w14:textId="77777777" w:rsidR="00D2713B" w:rsidRPr="00D14721" w:rsidRDefault="00D2713B" w:rsidP="00D2713B"/>
    <w:p w14:paraId="37C3C536" w14:textId="77777777" w:rsidR="00D2713B" w:rsidRPr="00D14721" w:rsidRDefault="00671FCE" w:rsidP="00D2713B">
      <w:r w:rsidRPr="00D14721">
        <w:t>Voir également l’</w:t>
      </w:r>
      <w:r w:rsidRPr="00D14721">
        <w:rPr>
          <w:i/>
          <w:iCs/>
        </w:rPr>
        <w:t>a</w:t>
      </w:r>
      <w:r w:rsidR="00D2713B" w:rsidRPr="00D14721">
        <w:rPr>
          <w:i/>
          <w:iCs/>
        </w:rPr>
        <w:t>s</w:t>
      </w:r>
      <w:r w:rsidRPr="00D14721">
        <w:rPr>
          <w:i/>
          <w:iCs/>
        </w:rPr>
        <w:t>pect</w:t>
      </w:r>
      <w:r w:rsidR="00D2713B" w:rsidRPr="00D14721">
        <w:rPr>
          <w:i/>
          <w:iCs/>
        </w:rPr>
        <w:t xml:space="preserve"> 2.1.3</w:t>
      </w:r>
      <w:r w:rsidRPr="00D14721">
        <w:rPr>
          <w:i/>
          <w:iCs/>
        </w:rPr>
        <w:t> </w:t>
      </w:r>
      <w:r w:rsidR="00D2713B" w:rsidRPr="00D14721">
        <w:rPr>
          <w:i/>
          <w:iCs/>
        </w:rPr>
        <w:t xml:space="preserve">: Code </w:t>
      </w:r>
      <w:r w:rsidRPr="00D14721">
        <w:rPr>
          <w:i/>
          <w:iCs/>
        </w:rPr>
        <w:t>de conduite</w:t>
      </w:r>
      <w:r w:rsidR="00D2713B" w:rsidRPr="00D14721">
        <w:rPr>
          <w:i/>
          <w:iCs/>
        </w:rPr>
        <w:t>.</w:t>
      </w:r>
    </w:p>
    <w:p w14:paraId="6C71684E" w14:textId="77777777" w:rsidR="00D2713B" w:rsidRPr="00D14721" w:rsidRDefault="00E008D2" w:rsidP="00546C0C">
      <w:pPr>
        <w:pStyle w:val="section-title"/>
      </w:pPr>
      <w:r w:rsidRPr="00D14721">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8780"/>
      </w:tblGrid>
      <w:tr w:rsidR="00D2713B" w:rsidRPr="00D14721" w14:paraId="6859D43C" w14:textId="77777777" w:rsidTr="00156617">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55BB614F" w14:textId="77777777" w:rsidR="00671FCE" w:rsidRPr="00D14721" w:rsidRDefault="00671FCE" w:rsidP="00671FCE">
            <w:pPr>
              <w:rPr>
                <w:i/>
                <w:iCs/>
              </w:rPr>
            </w:pPr>
            <w:r w:rsidRPr="00D14721">
              <w:rPr>
                <w:i/>
                <w:iCs/>
              </w:rPr>
              <w:t>Après une analyse comparative, les parlements pourraient par exemple viser les objectifs suivants en ce qui concerne la lutte contre le sexisme, le harcèlement et la violence :</w:t>
            </w:r>
          </w:p>
          <w:p w14:paraId="1090FFF9" w14:textId="77777777" w:rsidR="00671FCE" w:rsidRPr="00D14721" w:rsidRDefault="00671FCE" w:rsidP="00671FCE">
            <w:pPr>
              <w:rPr>
                <w:i/>
                <w:iCs/>
              </w:rPr>
            </w:pPr>
          </w:p>
          <w:p w14:paraId="25B8B8FE" w14:textId="77777777" w:rsidR="00671FCE" w:rsidRPr="00D14721" w:rsidRDefault="00671FCE" w:rsidP="00671FCE">
            <w:r w:rsidRPr="00D14721">
              <w:t>Le parlement a adopté en matière d'environnement de travail une politique de lutte contre le sexisme, le harcèlement et la violence s’exerçant dans ses murs conforme aux obligations nationales et internationales et aux bonnes pratiques.</w:t>
            </w:r>
          </w:p>
          <w:p w14:paraId="3A9DB154" w14:textId="77777777" w:rsidR="00671FCE" w:rsidRPr="00D14721" w:rsidRDefault="00671FCE" w:rsidP="00671FCE"/>
          <w:p w14:paraId="4EA8C12D" w14:textId="77777777" w:rsidR="00671FCE" w:rsidRPr="00D14721" w:rsidRDefault="00671FCE" w:rsidP="00671FCE">
            <w:r w:rsidRPr="00D14721">
              <w:t>Le parlement prend des mesures précises pour protéger, entre autres personnes travaillant dans ses locaux, les parlementaires victimes de menaces, d'agressions, ou de violence sexiste ou sexuelle de la part de tiers, y compris le harcèlement en ligne/cyberharcèlement.</w:t>
            </w:r>
          </w:p>
          <w:p w14:paraId="3B07B723" w14:textId="77777777" w:rsidR="00671FCE" w:rsidRPr="00D14721" w:rsidRDefault="00671FCE" w:rsidP="00671FCE"/>
          <w:p w14:paraId="320980BF" w14:textId="4EEFE08D" w:rsidR="00671FCE" w:rsidRPr="00D14721" w:rsidRDefault="00671FCE" w:rsidP="00671FCE">
            <w:r w:rsidRPr="00D14721">
              <w:t>Le parlement dispose d</w:t>
            </w:r>
            <w:r w:rsidR="009E4AA0" w:rsidRPr="00D14721">
              <w:t>’un</w:t>
            </w:r>
            <w:r w:rsidRPr="00D14721">
              <w:t xml:space="preserve"> mécanisme de dépôt de plaintes confidentiel habilité à </w:t>
            </w:r>
            <w:r w:rsidR="009E4AA0" w:rsidRPr="00D14721">
              <w:t xml:space="preserve">entendre </w:t>
            </w:r>
            <w:r w:rsidRPr="00D14721">
              <w:t>les plaintes des parlementaires et du personnel parlementaire et à leur donner suite. Ce mécanisme est confidentiel, à l'é</w:t>
            </w:r>
            <w:r w:rsidR="009E4AA0" w:rsidRPr="00D14721">
              <w:t xml:space="preserve">coute </w:t>
            </w:r>
            <w:r w:rsidRPr="00D14721">
              <w:t>des plaignants, équitable pour toutes les parties, fondé sur une enquête approfondie, impartiale et exhaustive</w:t>
            </w:r>
            <w:r w:rsidR="00A23B34">
              <w:t>,</w:t>
            </w:r>
            <w:r w:rsidRPr="00D14721">
              <w:t xml:space="preserve"> et diligent.</w:t>
            </w:r>
          </w:p>
          <w:p w14:paraId="319D00B8" w14:textId="77777777" w:rsidR="00671FCE" w:rsidRPr="00D14721" w:rsidRDefault="00671FCE" w:rsidP="00671FCE"/>
          <w:p w14:paraId="6F316ACF" w14:textId="77777777" w:rsidR="00671FCE" w:rsidRPr="00D14721" w:rsidRDefault="00671FCE" w:rsidP="00671FCE">
            <w:r w:rsidRPr="00D14721">
              <w:t xml:space="preserve">Le parlement </w:t>
            </w:r>
            <w:r w:rsidR="00AD1FCB" w:rsidRPr="00D14721">
              <w:t xml:space="preserve">organise </w:t>
            </w:r>
            <w:r w:rsidRPr="00D14721">
              <w:t>régulièrement à l'intention des parlementaires et du personnel parlementaire des programmes de formation et de sensibilisation visant à lutter contre le sexisme, le harcèlement et la violence.</w:t>
            </w:r>
          </w:p>
          <w:p w14:paraId="55DB6A7A" w14:textId="77777777" w:rsidR="00671FCE" w:rsidRPr="00D14721" w:rsidRDefault="00671FCE" w:rsidP="00671FCE"/>
          <w:p w14:paraId="5D90BE15" w14:textId="77777777" w:rsidR="00D2713B" w:rsidRPr="00D14721" w:rsidRDefault="00671FCE" w:rsidP="00671FCE">
            <w:r w:rsidRPr="00D14721">
              <w:t>Le parlement surveille l'efficacité et l'incidence dans le temps des politiques de lutte contre le sexisme, le harcèlement et la violence s’exerçant dans ses murs, notamment en recueillant des données de référence, ainsi que l'expérience et la perception des personnes travaillant dans ses locaux.</w:t>
            </w:r>
          </w:p>
          <w:p w14:paraId="14D91DD3" w14:textId="77777777" w:rsidR="00D2713B" w:rsidRPr="00D14721" w:rsidRDefault="00D2713B" w:rsidP="00156617"/>
        </w:tc>
      </w:tr>
    </w:tbl>
    <w:p w14:paraId="592FDE8F" w14:textId="77777777" w:rsidR="00D2713B" w:rsidRPr="00D14721" w:rsidRDefault="00E008D2" w:rsidP="00546C0C">
      <w:pPr>
        <w:pStyle w:val="section-title"/>
      </w:pPr>
      <w:r w:rsidRPr="00D14721">
        <w:t>Évaluation</w:t>
      </w:r>
    </w:p>
    <w:p w14:paraId="1C79E8D8" w14:textId="77777777" w:rsidR="00572617" w:rsidRPr="00D14721" w:rsidRDefault="00572617" w:rsidP="00572617">
      <w:r w:rsidRPr="00D14721">
        <w:t>L'aspect examiné ici est apprécié selon plusieurs critères, qui doivent être évalués séparément.</w:t>
      </w:r>
    </w:p>
    <w:p w14:paraId="0BE67898" w14:textId="77777777" w:rsidR="00D2713B" w:rsidRPr="00D14721" w:rsidRDefault="00572617" w:rsidP="00572617">
      <w:r w:rsidRPr="00D14721">
        <w:t>Pour chaque critère, veuillez choisir parmi les six appréciations proposées (Néant, Médiocre, Moyen, Bon, Très bon et Excellent) celle qui correspond le mieux à la situation dans votre parlement, et fournir des éléments à l'appui de votre appréciation.</w:t>
      </w:r>
    </w:p>
    <w:p w14:paraId="23AD15B2" w14:textId="77777777" w:rsidR="00572617" w:rsidRPr="00D14721" w:rsidRDefault="00572617" w:rsidP="00572617"/>
    <w:p w14:paraId="4226032A" w14:textId="77777777" w:rsidR="00D2713B" w:rsidRPr="00D14721" w:rsidRDefault="00572617" w:rsidP="00D2713B">
      <w:r w:rsidRPr="00D14721">
        <w:t>Exemples d'éléments permettant d'étayer l'évaluation :</w:t>
      </w:r>
    </w:p>
    <w:p w14:paraId="47543042" w14:textId="77777777" w:rsidR="00572617" w:rsidRPr="00D14721" w:rsidRDefault="00572617" w:rsidP="00D2713B"/>
    <w:p w14:paraId="03CC3131" w14:textId="77777777" w:rsidR="00572617" w:rsidRPr="00D14721" w:rsidRDefault="00572617" w:rsidP="00572617">
      <w:pPr>
        <w:pStyle w:val="Paragraphedeliste"/>
      </w:pPr>
      <w:r w:rsidRPr="00D14721">
        <w:t>Obligations nationales et internationales en matière de sexisme, de harcèlement et de violence au travail</w:t>
      </w:r>
    </w:p>
    <w:p w14:paraId="4B87D6C7" w14:textId="77777777" w:rsidR="00572617" w:rsidRPr="00D14721" w:rsidRDefault="00572617" w:rsidP="00572617">
      <w:pPr>
        <w:pStyle w:val="Paragraphedeliste"/>
      </w:pPr>
      <w:r w:rsidRPr="00D14721">
        <w:t>Politiques, réglementation et protocoles parlementaires, dispositions du règlement du parlement ou code de conduite visant à prévenir et à combattre le sexisme, le harcèlement et la violence</w:t>
      </w:r>
    </w:p>
    <w:p w14:paraId="3547700D" w14:textId="77777777" w:rsidR="00D2713B" w:rsidRPr="00D14721" w:rsidRDefault="00572617" w:rsidP="00572617">
      <w:pPr>
        <w:pStyle w:val="Paragraphedeliste"/>
      </w:pPr>
      <w:r w:rsidRPr="00D14721">
        <w:t>Documents ou autre information attestant de la mise en œuvre et du suivi réguliers des politiques et de la réglementation dans la pratique</w:t>
      </w:r>
    </w:p>
    <w:p w14:paraId="10A281CF" w14:textId="77777777" w:rsidR="00D2713B" w:rsidRPr="00D14721" w:rsidRDefault="00D2713B" w:rsidP="00D2713B">
      <w:pPr>
        <w:ind w:left="720"/>
      </w:pPr>
    </w:p>
    <w:p w14:paraId="455AA8EE" w14:textId="77777777" w:rsidR="00D2713B" w:rsidRPr="00D14721" w:rsidRDefault="00572617" w:rsidP="00D2713B">
      <w:pPr>
        <w:rPr>
          <w:rFonts w:eastAsia="Arial" w:cs="Arial"/>
        </w:rPr>
      </w:pPr>
      <w:r w:rsidRPr="00D14721">
        <w:t>Le cas échéant, merci de bien vouloir communiquer des observations ou exemples supplémentaires pour étayer l'évaluation.</w:t>
      </w:r>
    </w:p>
    <w:p w14:paraId="420F9E48" w14:textId="77777777" w:rsidR="00E008D2" w:rsidRPr="00D14721" w:rsidRDefault="00E008D2" w:rsidP="00E008D2">
      <w:pPr>
        <w:pStyle w:val="Titre4"/>
      </w:pPr>
      <w:r w:rsidRPr="00D14721">
        <w:t xml:space="preserve">Critère d'évaluation n° 1 : Politique visant à lutter contre le sexisme, le harcèlement et la violence au parlement </w:t>
      </w:r>
    </w:p>
    <w:p w14:paraId="6C38189B" w14:textId="77777777" w:rsidR="00E008D2" w:rsidRPr="00D14721" w:rsidRDefault="00E008D2" w:rsidP="00E008D2">
      <w:pPr>
        <w:rPr>
          <w:rFonts w:eastAsia="Times New Roman" w:cs="Arial"/>
        </w:rPr>
      </w:pPr>
      <w:r w:rsidRPr="00D14721">
        <w:rPr>
          <w:rFonts w:eastAsia="Times New Roman" w:cs="Arial"/>
        </w:rPr>
        <w:t xml:space="preserve">Le parlement a adopté en matière d'environnement de travail une politique de lutte contre le sexisme, le harcèlement et la violence </w:t>
      </w:r>
      <w:r w:rsidR="0019284A" w:rsidRPr="00D14721">
        <w:rPr>
          <w:rFonts w:eastAsia="Times New Roman" w:cs="Arial"/>
        </w:rPr>
        <w:t xml:space="preserve">s’exerçant </w:t>
      </w:r>
      <w:r w:rsidRPr="00D14721">
        <w:rPr>
          <w:rFonts w:eastAsia="Times New Roman" w:cs="Arial"/>
        </w:rPr>
        <w:t>dans ses murs conforme aux obligations nationales et internationales et aux bonnes pratiques.</w:t>
      </w:r>
    </w:p>
    <w:p w14:paraId="3F14D417" w14:textId="77777777" w:rsidR="00E008D2" w:rsidRPr="00D14721" w:rsidRDefault="00E008D2" w:rsidP="00E008D2"/>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E008D2" w:rsidRPr="00D14721" w14:paraId="0FE82F2F"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D1951D8" w14:textId="77777777" w:rsidR="00E008D2" w:rsidRPr="00D14721" w:rsidRDefault="00E008D2" w:rsidP="00156617">
            <w:pPr>
              <w:rPr>
                <w:rFonts w:cs="Arial"/>
              </w:rPr>
            </w:pPr>
            <w:r w:rsidRPr="00D14721">
              <w:t>Néant</w:t>
            </w:r>
          </w:p>
          <w:p w14:paraId="6F659CFD" w14:textId="77777777" w:rsidR="00E008D2" w:rsidRPr="00D14721" w:rsidRDefault="00E008D2"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284487BA" w14:textId="77777777" w:rsidR="00E008D2" w:rsidRPr="00D14721" w:rsidRDefault="00E008D2" w:rsidP="00156617">
            <w:pPr>
              <w:rPr>
                <w:rFonts w:cs="Arial"/>
              </w:rPr>
            </w:pPr>
            <w:r w:rsidRPr="00D14721">
              <w:t xml:space="preserve">Médiocre </w:t>
            </w:r>
          </w:p>
          <w:p w14:paraId="6817C11C" w14:textId="77777777" w:rsidR="00E008D2" w:rsidRPr="00D14721" w:rsidRDefault="00E008D2"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72584781" w14:textId="77777777" w:rsidR="00E008D2" w:rsidRPr="00D14721" w:rsidRDefault="00E008D2" w:rsidP="00156617">
            <w:pPr>
              <w:rPr>
                <w:rFonts w:cs="Arial"/>
              </w:rPr>
            </w:pPr>
            <w:r w:rsidRPr="00D14721">
              <w:rPr>
                <w:rFonts w:cs="Arial"/>
              </w:rPr>
              <w:t>Moyen</w:t>
            </w:r>
          </w:p>
          <w:p w14:paraId="3FBC1520" w14:textId="77777777" w:rsidR="00E008D2" w:rsidRPr="00D14721" w:rsidRDefault="00E008D2"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2D8350CE" w14:textId="77777777" w:rsidR="00E008D2" w:rsidRPr="00D14721" w:rsidRDefault="00E008D2" w:rsidP="00156617">
            <w:pPr>
              <w:rPr>
                <w:rFonts w:cs="Arial"/>
              </w:rPr>
            </w:pPr>
            <w:r w:rsidRPr="00D14721">
              <w:rPr>
                <w:rFonts w:cs="Arial"/>
              </w:rPr>
              <w:t>Bon</w:t>
            </w:r>
          </w:p>
          <w:p w14:paraId="21BFC30F" w14:textId="77777777" w:rsidR="00E008D2" w:rsidRPr="00D14721" w:rsidRDefault="00E008D2"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54AAD038" w14:textId="77777777" w:rsidR="00E008D2" w:rsidRPr="00D14721" w:rsidRDefault="00E008D2" w:rsidP="00156617">
            <w:pPr>
              <w:rPr>
                <w:rFonts w:cs="Arial"/>
              </w:rPr>
            </w:pPr>
            <w:r w:rsidRPr="00D14721">
              <w:t>Très bon</w:t>
            </w:r>
          </w:p>
          <w:p w14:paraId="3802CFE8" w14:textId="77777777" w:rsidR="00E008D2" w:rsidRPr="00D14721" w:rsidRDefault="00E008D2" w:rsidP="00156617">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5EEECFC5" w14:textId="77777777" w:rsidR="00E008D2" w:rsidRPr="00D14721" w:rsidRDefault="00E008D2" w:rsidP="00156617">
            <w:pPr>
              <w:rPr>
                <w:rFonts w:cs="Arial"/>
              </w:rPr>
            </w:pPr>
            <w:r w:rsidRPr="00D14721">
              <w:t>Excellent</w:t>
            </w:r>
          </w:p>
          <w:p w14:paraId="0AA5A644" w14:textId="77777777" w:rsidR="00E008D2" w:rsidRPr="00D14721" w:rsidRDefault="00E008D2" w:rsidP="00156617">
            <w:r w:rsidRPr="00D14721">
              <w:rPr>
                <w:rFonts w:ascii="Segoe UI Symbol" w:hAnsi="Segoe UI Symbol" w:cs="Segoe UI Symbol"/>
              </w:rPr>
              <w:t>☐</w:t>
            </w:r>
          </w:p>
        </w:tc>
      </w:tr>
      <w:tr w:rsidR="00E008D2" w:rsidRPr="00D14721" w14:paraId="2CB4217F"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66E58E" w14:textId="77777777" w:rsidR="00E008D2" w:rsidRPr="00D14721" w:rsidRDefault="00E008D2" w:rsidP="00156617">
            <w:r w:rsidRPr="00D14721">
              <w:t xml:space="preserve">Éléments à l'appui de l'évaluation : </w:t>
            </w:r>
          </w:p>
          <w:p w14:paraId="5B815D5D" w14:textId="77777777" w:rsidR="00E008D2" w:rsidRPr="00D14721" w:rsidRDefault="00E008D2" w:rsidP="00156617"/>
          <w:p w14:paraId="0CE79E64" w14:textId="77777777" w:rsidR="00E008D2" w:rsidRPr="00D14721" w:rsidRDefault="00E008D2" w:rsidP="00156617"/>
        </w:tc>
      </w:tr>
    </w:tbl>
    <w:p w14:paraId="1575BD56" w14:textId="77777777" w:rsidR="00E008D2" w:rsidRPr="00D14721" w:rsidRDefault="00E008D2" w:rsidP="00E008D2"/>
    <w:p w14:paraId="60ED488F" w14:textId="77777777" w:rsidR="00E008D2" w:rsidRPr="00D14721" w:rsidRDefault="00E008D2" w:rsidP="00E008D2">
      <w:pPr>
        <w:rPr>
          <w:rFonts w:eastAsia="Malgun Gothic" w:cs="Times New Roman"/>
          <w:b/>
          <w:iCs/>
        </w:rPr>
      </w:pPr>
      <w:r w:rsidRPr="00D14721">
        <w:rPr>
          <w:rFonts w:eastAsia="Malgun Gothic" w:cs="Times New Roman"/>
          <w:b/>
          <w:iCs/>
        </w:rPr>
        <w:t>Critère d'évaluation n° 2 :  Protection contre les abus de la part de tiers</w:t>
      </w:r>
    </w:p>
    <w:p w14:paraId="0A057842" w14:textId="77777777" w:rsidR="00E008D2" w:rsidRPr="00D14721" w:rsidRDefault="00E008D2" w:rsidP="00E008D2">
      <w:pPr>
        <w:rPr>
          <w:rFonts w:eastAsia="Malgun Gothic" w:cs="Times New Roman"/>
          <w:b/>
          <w:iCs/>
        </w:rPr>
      </w:pPr>
      <w:r w:rsidRPr="00D14721">
        <w:rPr>
          <w:rFonts w:eastAsia="Malgun Gothic" w:cs="Times New Roman"/>
          <w:b/>
          <w:iCs/>
        </w:rPr>
        <w:t xml:space="preserve">   </w:t>
      </w:r>
    </w:p>
    <w:p w14:paraId="0EE33B72" w14:textId="77777777" w:rsidR="00E008D2" w:rsidRPr="00D14721" w:rsidRDefault="00E008D2" w:rsidP="00E008D2">
      <w:pPr>
        <w:rPr>
          <w:rFonts w:eastAsia="Malgun Gothic" w:cs="Times New Roman"/>
          <w:bCs/>
          <w:iCs/>
        </w:rPr>
      </w:pPr>
      <w:r w:rsidRPr="00D14721">
        <w:rPr>
          <w:rFonts w:eastAsia="Malgun Gothic" w:cs="Times New Roman"/>
          <w:bCs/>
          <w:iCs/>
        </w:rPr>
        <w:t>Le parlement prend des mesures précises pour protéger, entre autres</w:t>
      </w:r>
      <w:r w:rsidR="0073003B" w:rsidRPr="00D14721">
        <w:rPr>
          <w:rFonts w:eastAsia="Malgun Gothic" w:cs="Times New Roman"/>
          <w:bCs/>
          <w:iCs/>
        </w:rPr>
        <w:t xml:space="preserve"> personnes</w:t>
      </w:r>
      <w:r w:rsidRPr="00D14721">
        <w:rPr>
          <w:rFonts w:eastAsia="Malgun Gothic" w:cs="Times New Roman"/>
          <w:bCs/>
          <w:iCs/>
        </w:rPr>
        <w:t xml:space="preserve"> travaillant dans ses locaux</w:t>
      </w:r>
      <w:r w:rsidR="0073003B" w:rsidRPr="00D14721">
        <w:rPr>
          <w:rFonts w:eastAsia="Malgun Gothic" w:cs="Times New Roman"/>
          <w:bCs/>
          <w:iCs/>
        </w:rPr>
        <w:t>, les parlementaires</w:t>
      </w:r>
      <w:r w:rsidRPr="00D14721">
        <w:rPr>
          <w:rFonts w:eastAsia="Malgun Gothic" w:cs="Times New Roman"/>
          <w:bCs/>
          <w:iCs/>
        </w:rPr>
        <w:t xml:space="preserve"> victimes de menaces, d'agressions, ou de violence sexiste ou sexuelle de la part de tiers, y compris le harcèlement en ligne/cyberharcèlement.</w:t>
      </w:r>
    </w:p>
    <w:p w14:paraId="3E6C321F" w14:textId="77777777" w:rsidR="00E008D2" w:rsidRPr="00D14721" w:rsidRDefault="00E008D2" w:rsidP="00E008D2"/>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E008D2" w:rsidRPr="00D14721" w14:paraId="40264F31"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7CBA175" w14:textId="77777777" w:rsidR="00E008D2" w:rsidRPr="00D14721" w:rsidRDefault="00E008D2" w:rsidP="00156617">
            <w:pPr>
              <w:rPr>
                <w:rFonts w:cs="Arial"/>
              </w:rPr>
            </w:pPr>
            <w:r w:rsidRPr="00D14721">
              <w:t>Néant</w:t>
            </w:r>
          </w:p>
          <w:p w14:paraId="39FDE94F" w14:textId="77777777" w:rsidR="00E008D2" w:rsidRPr="00D14721" w:rsidRDefault="00E008D2"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5CEC5370" w14:textId="77777777" w:rsidR="00E008D2" w:rsidRPr="00D14721" w:rsidRDefault="00E008D2" w:rsidP="00156617">
            <w:pPr>
              <w:rPr>
                <w:rFonts w:cs="Arial"/>
              </w:rPr>
            </w:pPr>
            <w:r w:rsidRPr="00D14721">
              <w:t xml:space="preserve">Médiocre </w:t>
            </w:r>
          </w:p>
          <w:p w14:paraId="7149E46C" w14:textId="77777777" w:rsidR="00E008D2" w:rsidRPr="00D14721" w:rsidRDefault="00E008D2"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3ACD034A" w14:textId="77777777" w:rsidR="00E008D2" w:rsidRPr="00D14721" w:rsidRDefault="00E008D2" w:rsidP="00156617">
            <w:pPr>
              <w:rPr>
                <w:rFonts w:cs="Arial"/>
              </w:rPr>
            </w:pPr>
            <w:r w:rsidRPr="00D14721">
              <w:rPr>
                <w:rFonts w:cs="Arial"/>
              </w:rPr>
              <w:t>Moyen</w:t>
            </w:r>
          </w:p>
          <w:p w14:paraId="6603F1B1" w14:textId="77777777" w:rsidR="00E008D2" w:rsidRPr="00D14721" w:rsidRDefault="00E008D2"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405BFBE7" w14:textId="77777777" w:rsidR="00E008D2" w:rsidRPr="00D14721" w:rsidRDefault="00E008D2" w:rsidP="00156617">
            <w:pPr>
              <w:rPr>
                <w:rFonts w:cs="Arial"/>
              </w:rPr>
            </w:pPr>
            <w:r w:rsidRPr="00D14721">
              <w:rPr>
                <w:rFonts w:cs="Arial"/>
              </w:rPr>
              <w:t>Bon</w:t>
            </w:r>
          </w:p>
          <w:p w14:paraId="23DB9646" w14:textId="77777777" w:rsidR="00E008D2" w:rsidRPr="00D14721" w:rsidRDefault="00E008D2"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3A20CE9A" w14:textId="77777777" w:rsidR="00E008D2" w:rsidRPr="00D14721" w:rsidRDefault="00E008D2" w:rsidP="00156617">
            <w:pPr>
              <w:rPr>
                <w:rFonts w:cs="Arial"/>
              </w:rPr>
            </w:pPr>
            <w:r w:rsidRPr="00D14721">
              <w:t>Très bon</w:t>
            </w:r>
          </w:p>
          <w:p w14:paraId="17A2B540" w14:textId="77777777" w:rsidR="00E008D2" w:rsidRPr="00D14721" w:rsidRDefault="00E008D2" w:rsidP="00156617">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581020C8" w14:textId="77777777" w:rsidR="00E008D2" w:rsidRPr="00D14721" w:rsidRDefault="00E008D2" w:rsidP="00156617">
            <w:pPr>
              <w:rPr>
                <w:rFonts w:cs="Arial"/>
              </w:rPr>
            </w:pPr>
            <w:r w:rsidRPr="00D14721">
              <w:t>Excellent</w:t>
            </w:r>
          </w:p>
          <w:p w14:paraId="7DC66BE6" w14:textId="77777777" w:rsidR="00E008D2" w:rsidRPr="00D14721" w:rsidRDefault="00E008D2" w:rsidP="00156617">
            <w:r w:rsidRPr="00D14721">
              <w:rPr>
                <w:rFonts w:ascii="Segoe UI Symbol" w:hAnsi="Segoe UI Symbol" w:cs="Segoe UI Symbol"/>
              </w:rPr>
              <w:t>☐</w:t>
            </w:r>
          </w:p>
        </w:tc>
      </w:tr>
      <w:tr w:rsidR="00E008D2" w:rsidRPr="00D14721" w14:paraId="3EECD938"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B8CF5D" w14:textId="77777777" w:rsidR="00E008D2" w:rsidRPr="00D14721" w:rsidRDefault="00E008D2" w:rsidP="00156617">
            <w:r w:rsidRPr="00D14721">
              <w:t xml:space="preserve">Éléments à l'appui de l'évaluation : </w:t>
            </w:r>
          </w:p>
          <w:p w14:paraId="04F7DDFC" w14:textId="77777777" w:rsidR="00E008D2" w:rsidRPr="00D14721" w:rsidRDefault="00E008D2" w:rsidP="00156617"/>
          <w:p w14:paraId="340BACB1" w14:textId="77777777" w:rsidR="00E008D2" w:rsidRPr="00D14721" w:rsidRDefault="00E008D2" w:rsidP="00156617"/>
        </w:tc>
      </w:tr>
    </w:tbl>
    <w:p w14:paraId="1F5607CC" w14:textId="77777777" w:rsidR="00E008D2" w:rsidRPr="00D14721" w:rsidRDefault="00E008D2" w:rsidP="00E008D2">
      <w:pPr>
        <w:pStyle w:val="Titre4"/>
      </w:pPr>
      <w:r w:rsidRPr="00D14721">
        <w:t>Critère d’évaluation n° 3 : Mécanisme de dépôt de plaintes</w:t>
      </w:r>
    </w:p>
    <w:p w14:paraId="4275D767" w14:textId="4E8AEF47" w:rsidR="00E008D2" w:rsidRPr="00D14721" w:rsidRDefault="00E008D2" w:rsidP="00E008D2">
      <w:pPr>
        <w:rPr>
          <w:rFonts w:eastAsia="Times New Roman" w:cs="Arial"/>
          <w:sz w:val="16"/>
        </w:rPr>
      </w:pPr>
      <w:r w:rsidRPr="00D14721">
        <w:t>Le parlement dispose d</w:t>
      </w:r>
      <w:r w:rsidR="0073003B" w:rsidRPr="00D14721">
        <w:t>’un</w:t>
      </w:r>
      <w:r w:rsidRPr="00D14721">
        <w:t xml:space="preserve"> mécanisme de dépôt de plaintes confidentiel habilité à </w:t>
      </w:r>
      <w:r w:rsidR="009E4AA0" w:rsidRPr="00D14721">
        <w:t xml:space="preserve">entendre </w:t>
      </w:r>
      <w:r w:rsidRPr="00D14721">
        <w:t>les plaintes des parlementaires et du personnel parlementaire et à leur donner suite.</w:t>
      </w:r>
      <w:r w:rsidR="0073003B" w:rsidRPr="00D14721">
        <w:t xml:space="preserve"> </w:t>
      </w:r>
      <w:r w:rsidRPr="00D14721">
        <w:t>Ce mécanisme est confidentiel, à l'</w:t>
      </w:r>
      <w:r w:rsidR="0073003B" w:rsidRPr="00D14721">
        <w:t xml:space="preserve">écoute </w:t>
      </w:r>
      <w:r w:rsidRPr="00D14721">
        <w:t>des plaignants, équitable pour toutes les parties</w:t>
      </w:r>
      <w:r w:rsidR="0073003B" w:rsidRPr="00D14721">
        <w:t xml:space="preserve">, </w:t>
      </w:r>
      <w:r w:rsidRPr="00D14721">
        <w:t>fondé sur une enquête approfondie, impartiale et exhaustive</w:t>
      </w:r>
      <w:r w:rsidR="00B526E1">
        <w:t>,</w:t>
      </w:r>
      <w:r w:rsidRPr="00D14721">
        <w:t xml:space="preserve"> et diligent.</w:t>
      </w:r>
    </w:p>
    <w:p w14:paraId="3DD57065" w14:textId="77777777" w:rsidR="00E008D2" w:rsidRPr="00D14721" w:rsidRDefault="00E008D2" w:rsidP="00E008D2"/>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E008D2" w:rsidRPr="00D14721" w14:paraId="024A48DE"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045B4B3" w14:textId="77777777" w:rsidR="00E008D2" w:rsidRPr="00D14721" w:rsidRDefault="00E008D2" w:rsidP="00156617">
            <w:pPr>
              <w:rPr>
                <w:rFonts w:cs="Arial"/>
              </w:rPr>
            </w:pPr>
            <w:r w:rsidRPr="00D14721">
              <w:t>Néant</w:t>
            </w:r>
          </w:p>
          <w:p w14:paraId="4D3200FB" w14:textId="77777777" w:rsidR="00E008D2" w:rsidRPr="00D14721" w:rsidRDefault="00E008D2"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125C81BE" w14:textId="77777777" w:rsidR="00E008D2" w:rsidRPr="00D14721" w:rsidRDefault="00E008D2" w:rsidP="00156617">
            <w:pPr>
              <w:rPr>
                <w:rFonts w:cs="Arial"/>
              </w:rPr>
            </w:pPr>
            <w:r w:rsidRPr="00D14721">
              <w:t xml:space="preserve">Médiocre </w:t>
            </w:r>
          </w:p>
          <w:p w14:paraId="01EA005D" w14:textId="77777777" w:rsidR="00E008D2" w:rsidRPr="00D14721" w:rsidRDefault="00E008D2"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091C94F4" w14:textId="77777777" w:rsidR="00E008D2" w:rsidRPr="00D14721" w:rsidRDefault="00E008D2" w:rsidP="00156617">
            <w:pPr>
              <w:rPr>
                <w:rFonts w:cs="Arial"/>
              </w:rPr>
            </w:pPr>
            <w:r w:rsidRPr="00D14721">
              <w:rPr>
                <w:rFonts w:cs="Arial"/>
              </w:rPr>
              <w:t>Moyen</w:t>
            </w:r>
          </w:p>
          <w:p w14:paraId="288B0BB8" w14:textId="77777777" w:rsidR="00E008D2" w:rsidRPr="00D14721" w:rsidRDefault="00E008D2"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794D495A" w14:textId="77777777" w:rsidR="00E008D2" w:rsidRPr="00D14721" w:rsidRDefault="00E008D2" w:rsidP="00156617">
            <w:pPr>
              <w:rPr>
                <w:rFonts w:cs="Arial"/>
              </w:rPr>
            </w:pPr>
            <w:r w:rsidRPr="00D14721">
              <w:rPr>
                <w:rFonts w:cs="Arial"/>
              </w:rPr>
              <w:t>Bon</w:t>
            </w:r>
          </w:p>
          <w:p w14:paraId="25040981" w14:textId="77777777" w:rsidR="00E008D2" w:rsidRPr="00D14721" w:rsidRDefault="00E008D2"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26ED6937" w14:textId="77777777" w:rsidR="00E008D2" w:rsidRPr="00D14721" w:rsidRDefault="00E008D2" w:rsidP="00156617">
            <w:pPr>
              <w:rPr>
                <w:rFonts w:cs="Arial"/>
              </w:rPr>
            </w:pPr>
            <w:r w:rsidRPr="00D14721">
              <w:t>Très bon</w:t>
            </w:r>
          </w:p>
          <w:p w14:paraId="7CEA242A" w14:textId="77777777" w:rsidR="00E008D2" w:rsidRPr="00D14721" w:rsidRDefault="00E008D2" w:rsidP="00156617">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3D7A6082" w14:textId="77777777" w:rsidR="00E008D2" w:rsidRPr="00D14721" w:rsidRDefault="00E008D2" w:rsidP="00156617">
            <w:pPr>
              <w:rPr>
                <w:rFonts w:cs="Arial"/>
              </w:rPr>
            </w:pPr>
            <w:r w:rsidRPr="00D14721">
              <w:t>Excellent</w:t>
            </w:r>
          </w:p>
          <w:p w14:paraId="1AD541CE" w14:textId="77777777" w:rsidR="00E008D2" w:rsidRPr="00D14721" w:rsidRDefault="00E008D2" w:rsidP="00156617">
            <w:r w:rsidRPr="00D14721">
              <w:rPr>
                <w:rFonts w:ascii="Segoe UI Symbol" w:hAnsi="Segoe UI Symbol" w:cs="Segoe UI Symbol"/>
              </w:rPr>
              <w:t>☐</w:t>
            </w:r>
          </w:p>
        </w:tc>
      </w:tr>
      <w:tr w:rsidR="00E008D2" w:rsidRPr="00D14721" w14:paraId="41A25801"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A15A2" w14:textId="77777777" w:rsidR="00E008D2" w:rsidRPr="00D14721" w:rsidRDefault="00E008D2" w:rsidP="00156617">
            <w:r w:rsidRPr="00D14721">
              <w:t xml:space="preserve">Éléments à l'appui de l'évaluation : </w:t>
            </w:r>
          </w:p>
          <w:p w14:paraId="277CCF68" w14:textId="77777777" w:rsidR="00E008D2" w:rsidRPr="00D14721" w:rsidRDefault="00E008D2" w:rsidP="00156617"/>
          <w:p w14:paraId="7A2D9461" w14:textId="77777777" w:rsidR="00E008D2" w:rsidRPr="00D14721" w:rsidRDefault="00E008D2" w:rsidP="00156617"/>
        </w:tc>
      </w:tr>
    </w:tbl>
    <w:p w14:paraId="0C17077E" w14:textId="77777777" w:rsidR="00E008D2" w:rsidRPr="00D14721" w:rsidRDefault="00E008D2" w:rsidP="00E008D2"/>
    <w:p w14:paraId="6A871A2D" w14:textId="77777777" w:rsidR="00E008D2" w:rsidRPr="00D14721" w:rsidRDefault="00E008D2" w:rsidP="00E008D2">
      <w:pPr>
        <w:pStyle w:val="Titre4"/>
      </w:pPr>
      <w:r w:rsidRPr="00D14721">
        <w:t>Critère d’évaluation n° 4 : Sensibilisation et formation</w:t>
      </w:r>
    </w:p>
    <w:p w14:paraId="5C043365" w14:textId="77777777" w:rsidR="00E008D2" w:rsidRPr="00D14721" w:rsidRDefault="00E008D2" w:rsidP="00E008D2">
      <w:r w:rsidRPr="00D14721">
        <w:t xml:space="preserve">Le parlement </w:t>
      </w:r>
      <w:r w:rsidR="005D1FF4" w:rsidRPr="00D14721">
        <w:t xml:space="preserve">organise </w:t>
      </w:r>
      <w:r w:rsidRPr="00D14721">
        <w:t xml:space="preserve">régulièrement à l'intention des parlementaires et du personnel parlementaire des programmes de formation et de sensibilisation visant à lutter contre le sexisme, le harcèlement et la violence.   </w:t>
      </w:r>
    </w:p>
    <w:p w14:paraId="28349DFB" w14:textId="77777777" w:rsidR="00E008D2" w:rsidRPr="00D14721" w:rsidRDefault="00E008D2" w:rsidP="00E008D2"/>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E008D2" w:rsidRPr="00D14721" w14:paraId="2B6798A5"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59D7C6E" w14:textId="77777777" w:rsidR="00E008D2" w:rsidRPr="00D14721" w:rsidRDefault="00E008D2" w:rsidP="00156617">
            <w:pPr>
              <w:rPr>
                <w:rFonts w:cs="Arial"/>
              </w:rPr>
            </w:pPr>
            <w:r w:rsidRPr="00D14721">
              <w:t>Néant</w:t>
            </w:r>
          </w:p>
          <w:p w14:paraId="05BB3E10" w14:textId="77777777" w:rsidR="00E008D2" w:rsidRPr="00D14721" w:rsidRDefault="00E008D2"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7B48A4D4" w14:textId="77777777" w:rsidR="00E008D2" w:rsidRPr="00D14721" w:rsidRDefault="00E008D2" w:rsidP="00156617">
            <w:pPr>
              <w:rPr>
                <w:rFonts w:cs="Arial"/>
              </w:rPr>
            </w:pPr>
            <w:r w:rsidRPr="00D14721">
              <w:t xml:space="preserve">Médiocre </w:t>
            </w:r>
          </w:p>
          <w:p w14:paraId="2CE861FC" w14:textId="77777777" w:rsidR="00E008D2" w:rsidRPr="00D14721" w:rsidRDefault="00E008D2"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6A03DBE2" w14:textId="77777777" w:rsidR="00E008D2" w:rsidRPr="00D14721" w:rsidRDefault="00E008D2" w:rsidP="00156617">
            <w:pPr>
              <w:rPr>
                <w:rFonts w:cs="Arial"/>
              </w:rPr>
            </w:pPr>
            <w:r w:rsidRPr="00D14721">
              <w:rPr>
                <w:rFonts w:cs="Arial"/>
              </w:rPr>
              <w:t>Moyen</w:t>
            </w:r>
          </w:p>
          <w:p w14:paraId="3117570D" w14:textId="77777777" w:rsidR="00E008D2" w:rsidRPr="00D14721" w:rsidRDefault="00E008D2"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6773616A" w14:textId="77777777" w:rsidR="00E008D2" w:rsidRPr="00D14721" w:rsidRDefault="00E008D2" w:rsidP="00156617">
            <w:pPr>
              <w:rPr>
                <w:rFonts w:cs="Arial"/>
              </w:rPr>
            </w:pPr>
            <w:r w:rsidRPr="00D14721">
              <w:rPr>
                <w:rFonts w:cs="Arial"/>
              </w:rPr>
              <w:t>Bon</w:t>
            </w:r>
          </w:p>
          <w:p w14:paraId="506D1B97" w14:textId="77777777" w:rsidR="00E008D2" w:rsidRPr="00D14721" w:rsidRDefault="00E008D2"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04C841E8" w14:textId="77777777" w:rsidR="00E008D2" w:rsidRPr="00D14721" w:rsidRDefault="00E008D2" w:rsidP="00156617">
            <w:pPr>
              <w:rPr>
                <w:rFonts w:cs="Arial"/>
              </w:rPr>
            </w:pPr>
            <w:r w:rsidRPr="00D14721">
              <w:t>Très bon</w:t>
            </w:r>
          </w:p>
          <w:p w14:paraId="119510CA" w14:textId="77777777" w:rsidR="00E008D2" w:rsidRPr="00D14721" w:rsidRDefault="00E008D2" w:rsidP="00156617">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1EB1CF01" w14:textId="77777777" w:rsidR="00E008D2" w:rsidRPr="00D14721" w:rsidRDefault="00E008D2" w:rsidP="00156617">
            <w:pPr>
              <w:rPr>
                <w:rFonts w:cs="Arial"/>
              </w:rPr>
            </w:pPr>
            <w:r w:rsidRPr="00D14721">
              <w:t>Excellent</w:t>
            </w:r>
          </w:p>
          <w:p w14:paraId="265F26FE" w14:textId="77777777" w:rsidR="00E008D2" w:rsidRPr="00D14721" w:rsidRDefault="00E008D2" w:rsidP="00156617">
            <w:r w:rsidRPr="00D14721">
              <w:rPr>
                <w:rFonts w:ascii="Segoe UI Symbol" w:hAnsi="Segoe UI Symbol" w:cs="Segoe UI Symbol"/>
              </w:rPr>
              <w:t>☐</w:t>
            </w:r>
          </w:p>
        </w:tc>
      </w:tr>
      <w:tr w:rsidR="00E008D2" w:rsidRPr="00D14721" w14:paraId="3553F266"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7B886" w14:textId="77777777" w:rsidR="00E008D2" w:rsidRPr="00D14721" w:rsidRDefault="00E008D2" w:rsidP="00156617">
            <w:r w:rsidRPr="00D14721">
              <w:t xml:space="preserve">Éléments à l'appui de l'évaluation : </w:t>
            </w:r>
          </w:p>
          <w:p w14:paraId="004ECA92" w14:textId="77777777" w:rsidR="00E008D2" w:rsidRPr="00D14721" w:rsidRDefault="00E008D2" w:rsidP="00156617"/>
          <w:p w14:paraId="69BDE701" w14:textId="77777777" w:rsidR="00E008D2" w:rsidRPr="00D14721" w:rsidRDefault="00E008D2" w:rsidP="00156617"/>
        </w:tc>
      </w:tr>
    </w:tbl>
    <w:p w14:paraId="7086FD88" w14:textId="77777777" w:rsidR="00E008D2" w:rsidRPr="00D14721" w:rsidRDefault="00E008D2" w:rsidP="00E008D2">
      <w:pPr>
        <w:rPr>
          <w:lang w:eastAsia="en-GB"/>
        </w:rPr>
      </w:pPr>
    </w:p>
    <w:p w14:paraId="05B93961" w14:textId="77777777" w:rsidR="00E008D2" w:rsidRPr="00D14721" w:rsidRDefault="00E008D2" w:rsidP="00E008D2">
      <w:pPr>
        <w:pStyle w:val="Titre4"/>
      </w:pPr>
      <w:r w:rsidRPr="00D14721">
        <w:t>Critère d’évaluation n° 5 : Suivi</w:t>
      </w:r>
    </w:p>
    <w:p w14:paraId="2DDAF22A" w14:textId="77777777" w:rsidR="00E008D2" w:rsidRPr="00D14721" w:rsidRDefault="00E008D2" w:rsidP="00E008D2">
      <w:r w:rsidRPr="00D14721">
        <w:t xml:space="preserve">Le parlement surveille l'efficacité et l'incidence dans le temps des politiques de lutte contre le sexisme, le harcèlement et la violence </w:t>
      </w:r>
      <w:r w:rsidR="005D1FF4" w:rsidRPr="00D14721">
        <w:t xml:space="preserve">s’exerçant </w:t>
      </w:r>
      <w:r w:rsidRPr="00D14721">
        <w:t xml:space="preserve">dans ses murs, notamment en recueillant des données de référence, ainsi que l'expérience et la perception des personnes travaillant dans ses locaux.   </w:t>
      </w:r>
    </w:p>
    <w:p w14:paraId="43890A60" w14:textId="77777777" w:rsidR="00E008D2" w:rsidRPr="00D14721" w:rsidRDefault="00E008D2" w:rsidP="00E008D2"/>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E008D2" w:rsidRPr="00D14721" w14:paraId="60E8C09D"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B5FEBE6" w14:textId="77777777" w:rsidR="00E008D2" w:rsidRPr="00D14721" w:rsidRDefault="00E008D2" w:rsidP="00156617">
            <w:pPr>
              <w:rPr>
                <w:rFonts w:cs="Arial"/>
              </w:rPr>
            </w:pPr>
            <w:r w:rsidRPr="00D14721">
              <w:t>Néant</w:t>
            </w:r>
          </w:p>
          <w:p w14:paraId="29E9CD65" w14:textId="77777777" w:rsidR="00E008D2" w:rsidRPr="00D14721" w:rsidRDefault="00E008D2"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09795278" w14:textId="77777777" w:rsidR="00E008D2" w:rsidRPr="00D14721" w:rsidRDefault="00E008D2" w:rsidP="00156617">
            <w:pPr>
              <w:rPr>
                <w:rFonts w:cs="Arial"/>
              </w:rPr>
            </w:pPr>
            <w:r w:rsidRPr="00D14721">
              <w:t xml:space="preserve">Médiocre </w:t>
            </w:r>
          </w:p>
          <w:p w14:paraId="0E5D709B" w14:textId="77777777" w:rsidR="00E008D2" w:rsidRPr="00D14721" w:rsidRDefault="00E008D2"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31B5A7D3" w14:textId="77777777" w:rsidR="00E008D2" w:rsidRPr="00D14721" w:rsidRDefault="00E008D2" w:rsidP="00156617">
            <w:pPr>
              <w:rPr>
                <w:rFonts w:cs="Arial"/>
              </w:rPr>
            </w:pPr>
            <w:r w:rsidRPr="00D14721">
              <w:rPr>
                <w:rFonts w:cs="Arial"/>
              </w:rPr>
              <w:t>Moyen</w:t>
            </w:r>
          </w:p>
          <w:p w14:paraId="20F4285D" w14:textId="77777777" w:rsidR="00E008D2" w:rsidRPr="00D14721" w:rsidRDefault="00E008D2"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51BD420A" w14:textId="77777777" w:rsidR="00E008D2" w:rsidRPr="00D14721" w:rsidRDefault="00E008D2" w:rsidP="00156617">
            <w:pPr>
              <w:rPr>
                <w:rFonts w:cs="Arial"/>
              </w:rPr>
            </w:pPr>
            <w:r w:rsidRPr="00D14721">
              <w:rPr>
                <w:rFonts w:cs="Arial"/>
              </w:rPr>
              <w:t>Bon</w:t>
            </w:r>
          </w:p>
          <w:p w14:paraId="649B53B2" w14:textId="77777777" w:rsidR="00E008D2" w:rsidRPr="00D14721" w:rsidRDefault="00E008D2"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35E6BA3E" w14:textId="77777777" w:rsidR="00E008D2" w:rsidRPr="00D14721" w:rsidRDefault="00E008D2" w:rsidP="00156617">
            <w:pPr>
              <w:rPr>
                <w:rFonts w:cs="Arial"/>
              </w:rPr>
            </w:pPr>
            <w:r w:rsidRPr="00D14721">
              <w:t>Très bon</w:t>
            </w:r>
          </w:p>
          <w:p w14:paraId="6F83A98C" w14:textId="77777777" w:rsidR="00E008D2" w:rsidRPr="00D14721" w:rsidRDefault="00E008D2" w:rsidP="00156617">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290C5593" w14:textId="77777777" w:rsidR="00E008D2" w:rsidRPr="00D14721" w:rsidRDefault="00E008D2" w:rsidP="00156617">
            <w:pPr>
              <w:rPr>
                <w:rFonts w:cs="Arial"/>
              </w:rPr>
            </w:pPr>
            <w:r w:rsidRPr="00D14721">
              <w:t>Excellent</w:t>
            </w:r>
          </w:p>
          <w:p w14:paraId="593BA9AA" w14:textId="77777777" w:rsidR="00E008D2" w:rsidRPr="00D14721" w:rsidRDefault="00E008D2" w:rsidP="00156617">
            <w:r w:rsidRPr="00D14721">
              <w:rPr>
                <w:rFonts w:ascii="Segoe UI Symbol" w:hAnsi="Segoe UI Symbol" w:cs="Segoe UI Symbol"/>
              </w:rPr>
              <w:t>☐</w:t>
            </w:r>
          </w:p>
        </w:tc>
      </w:tr>
      <w:tr w:rsidR="00E008D2" w:rsidRPr="00D14721" w14:paraId="5D729717"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32296A" w14:textId="77777777" w:rsidR="00E008D2" w:rsidRPr="00D14721" w:rsidRDefault="00E008D2" w:rsidP="00156617">
            <w:r w:rsidRPr="00D14721">
              <w:t xml:space="preserve">Éléments à l'appui de l'évaluation : </w:t>
            </w:r>
          </w:p>
          <w:p w14:paraId="0B6BB44F" w14:textId="77777777" w:rsidR="00E008D2" w:rsidRPr="00D14721" w:rsidRDefault="00E008D2" w:rsidP="00156617"/>
          <w:p w14:paraId="3DF0E449" w14:textId="77777777" w:rsidR="00E008D2" w:rsidRPr="00D14721" w:rsidRDefault="00E008D2" w:rsidP="00156617"/>
        </w:tc>
      </w:tr>
    </w:tbl>
    <w:p w14:paraId="101B2DA4" w14:textId="77777777" w:rsidR="00E341D1" w:rsidRPr="00D14721" w:rsidRDefault="00E341D1" w:rsidP="00546C0C">
      <w:pPr>
        <w:pStyle w:val="section-title"/>
      </w:pPr>
    </w:p>
    <w:p w14:paraId="7DB2AFB6" w14:textId="77777777" w:rsidR="00E008D2" w:rsidRPr="00D14721" w:rsidRDefault="00E008D2" w:rsidP="00546C0C">
      <w:pPr>
        <w:pStyle w:val="section-title"/>
      </w:pPr>
      <w:r w:rsidRPr="00D14721">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780"/>
      </w:tblGrid>
      <w:tr w:rsidR="00E008D2" w:rsidRPr="00D14721" w14:paraId="1F2D0118" w14:textId="77777777" w:rsidTr="0015661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B0BCFBA" w14:textId="77777777" w:rsidR="00E008D2" w:rsidRPr="00D14721" w:rsidRDefault="00E008D2" w:rsidP="00156617">
            <w:r w:rsidRPr="00D14721">
              <w:rPr>
                <w:i/>
                <w:color w:val="000000"/>
              </w:rPr>
              <w:t>Dans cet encadré, notez les recommandations et les idées visant à renforcer les règles et la pratique dans ce domaine.</w:t>
            </w:r>
          </w:p>
        </w:tc>
      </w:tr>
    </w:tbl>
    <w:p w14:paraId="1C8FA620" w14:textId="77777777" w:rsidR="00E008D2" w:rsidRPr="00D14721" w:rsidRDefault="00E008D2" w:rsidP="00546C0C">
      <w:pPr>
        <w:pStyle w:val="section-title"/>
      </w:pPr>
      <w:r w:rsidRPr="00D14721">
        <w:t>Sources et autre documentation</w:t>
      </w:r>
    </w:p>
    <w:p w14:paraId="4DE4DA23" w14:textId="77777777" w:rsidR="00D2713B" w:rsidRPr="00D14721" w:rsidRDefault="00D2713B" w:rsidP="00D2713B">
      <w:pPr>
        <w:pStyle w:val="Paragraphedeliste"/>
      </w:pPr>
      <w:r w:rsidRPr="00D14721">
        <w:t xml:space="preserve">Union </w:t>
      </w:r>
      <w:r w:rsidR="008C1AE2" w:rsidRPr="00D14721">
        <w:t xml:space="preserve">interparlementaire </w:t>
      </w:r>
      <w:r w:rsidRPr="00D14721">
        <w:t>(U</w:t>
      </w:r>
      <w:r w:rsidR="008C1AE2" w:rsidRPr="00D14721">
        <w:t>IP</w:t>
      </w:r>
      <w:r w:rsidRPr="00D14721">
        <w:t xml:space="preserve">), </w:t>
      </w:r>
      <w:hyperlink r:id="rId22" w:history="1">
        <w:r w:rsidR="00B618FC" w:rsidRPr="00D14721">
          <w:rPr>
            <w:rStyle w:val="Lienhypertexte"/>
            <w:i/>
            <w:iCs/>
          </w:rPr>
          <w:t>Lignes directrices pour l'élimination du sexisme, du harcèlement et de la violence à l'égard des femmes dans les parlements</w:t>
        </w:r>
      </w:hyperlink>
      <w:r w:rsidRPr="00D14721">
        <w:t xml:space="preserve"> (2019)</w:t>
      </w:r>
      <w:r w:rsidR="00E008D2" w:rsidRPr="00D14721">
        <w:t>.</w:t>
      </w:r>
    </w:p>
    <w:p w14:paraId="5F91599D" w14:textId="77777777" w:rsidR="00D2713B" w:rsidRPr="00D14721" w:rsidRDefault="00D2713B" w:rsidP="00D2713B"/>
    <w:p w14:paraId="6627C143" w14:textId="77777777" w:rsidR="00D2713B" w:rsidRPr="00D14721" w:rsidRDefault="00D2713B" w:rsidP="00D2713B"/>
    <w:p w14:paraId="1E2E1064" w14:textId="77777777" w:rsidR="00D2713B" w:rsidRPr="00D14721" w:rsidRDefault="00D2713B" w:rsidP="00D2713B"/>
    <w:p w14:paraId="37FA67CC" w14:textId="38DF1973" w:rsidR="00D2713B" w:rsidRPr="00D14721" w:rsidRDefault="00E341D1" w:rsidP="00546C0C">
      <w:pPr>
        <w:pStyle w:val="Dimension"/>
      </w:pPr>
      <w:r w:rsidRPr="00D14721">
        <w:t xml:space="preserve">Aspect </w:t>
      </w:r>
      <w:r w:rsidR="00D2713B" w:rsidRPr="00D14721">
        <w:t>5.2.4</w:t>
      </w:r>
      <w:r w:rsidRPr="00D14721">
        <w:t> </w:t>
      </w:r>
      <w:r w:rsidR="00D2713B" w:rsidRPr="00D14721">
        <w:t xml:space="preserve">: </w:t>
      </w:r>
      <w:r w:rsidRPr="00D14721">
        <w:t>Offre de services multilingues</w:t>
      </w:r>
      <w:r w:rsidR="00D2713B" w:rsidRPr="00D1472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8780"/>
      </w:tblGrid>
      <w:tr w:rsidR="00D2713B" w:rsidRPr="00D14721" w14:paraId="5DA0E517" w14:textId="77777777" w:rsidTr="00156617">
        <w:tc>
          <w:tcPr>
            <w:tcW w:w="9006" w:type="dxa"/>
            <w:shd w:val="clear" w:color="auto" w:fill="EEEEEE"/>
          </w:tcPr>
          <w:p w14:paraId="1C6CCAAA" w14:textId="77777777" w:rsidR="002919CF" w:rsidRPr="00D14721" w:rsidRDefault="002919CF" w:rsidP="002919CF">
            <w:pPr>
              <w:rPr>
                <w:rFonts w:eastAsia="Arial" w:cs="Arial"/>
              </w:rPr>
            </w:pPr>
            <w:r w:rsidRPr="00D14721">
              <w:rPr>
                <w:sz w:val="24"/>
              </w:rPr>
              <w:t>Cet aspect s’applique aux éléments suivants :</w:t>
            </w:r>
          </w:p>
          <w:p w14:paraId="14A78F29" w14:textId="77777777" w:rsidR="002919CF" w:rsidRPr="00D14721" w:rsidRDefault="002919CF" w:rsidP="002919CF">
            <w:pPr>
              <w:pStyle w:val="Paragraphedeliste"/>
              <w:rPr>
                <w:sz w:val="24"/>
              </w:rPr>
            </w:pPr>
            <w:r w:rsidRPr="00D14721">
              <w:rPr>
                <w:sz w:val="24"/>
              </w:rPr>
              <w:t>Indicateur 5.2 : Pratiques institutionnelles inclusives</w:t>
            </w:r>
          </w:p>
          <w:p w14:paraId="7B2BE298" w14:textId="77777777" w:rsidR="00D2713B" w:rsidRPr="00D14721" w:rsidRDefault="002919CF" w:rsidP="002919CF">
            <w:pPr>
              <w:pStyle w:val="Paragraphedeliste"/>
              <w:rPr>
                <w:sz w:val="24"/>
              </w:rPr>
            </w:pPr>
            <w:r w:rsidRPr="00D14721">
              <w:rPr>
                <w:sz w:val="24"/>
              </w:rPr>
              <w:t xml:space="preserve">Cible </w:t>
            </w:r>
            <w:r w:rsidR="00FA04CC" w:rsidRPr="00D14721">
              <w:rPr>
                <w:sz w:val="24"/>
              </w:rPr>
              <w:t>5 :</w:t>
            </w:r>
            <w:r w:rsidRPr="00D14721">
              <w:rPr>
                <w:sz w:val="24"/>
              </w:rPr>
              <w:t xml:space="preserve"> Des parlements inclusifs</w:t>
            </w:r>
          </w:p>
        </w:tc>
      </w:tr>
    </w:tbl>
    <w:p w14:paraId="00819793" w14:textId="77777777" w:rsidR="00E341D1" w:rsidRPr="00D14721" w:rsidRDefault="00E341D1" w:rsidP="00546C0C">
      <w:pPr>
        <w:pStyle w:val="section-title"/>
      </w:pPr>
      <w:r w:rsidRPr="00D14721">
        <w:t>À propos de l’aspect</w:t>
      </w:r>
    </w:p>
    <w:p w14:paraId="06A08B51" w14:textId="77777777" w:rsidR="00232E2C" w:rsidRPr="00D14721" w:rsidRDefault="00232E2C" w:rsidP="00232E2C">
      <w:r w:rsidRPr="00D14721">
        <w:t>Cet aspect porte sur la façon dont le parlement communique et diffuse des informations à l'ensemble des citoyens qu'il représente, quelle(s) que soi(en)t la ou les langue(s) qu'ils parlent.</w:t>
      </w:r>
    </w:p>
    <w:p w14:paraId="580D5CA5" w14:textId="430A647D" w:rsidR="00232E2C" w:rsidRPr="00D14721" w:rsidRDefault="00232E2C" w:rsidP="00232E2C">
      <w:r w:rsidRPr="00D14721">
        <w:t>Le parlement doit veiller à être en mesure de communiquer de façon inclusive avec tous les groupes de la société, la langue ne devant pas entrave</w:t>
      </w:r>
      <w:r w:rsidR="00E60E4B" w:rsidRPr="00D14721">
        <w:t>r</w:t>
      </w:r>
      <w:r w:rsidRPr="00D14721">
        <w:t xml:space="preserve"> l’efficacité de la communication.</w:t>
      </w:r>
    </w:p>
    <w:p w14:paraId="13A81073" w14:textId="77777777" w:rsidR="00232E2C" w:rsidRPr="00D14721" w:rsidRDefault="00232E2C" w:rsidP="00232E2C"/>
    <w:p w14:paraId="318BD296" w14:textId="77777777" w:rsidR="00232E2C" w:rsidRPr="00D14721" w:rsidRDefault="00232E2C" w:rsidP="00232E2C">
      <w:r w:rsidRPr="00D14721">
        <w:t>Dans les pays dans lesquels il existe plus</w:t>
      </w:r>
      <w:r w:rsidR="00106183" w:rsidRPr="00D14721">
        <w:t xml:space="preserve">ieurs </w:t>
      </w:r>
      <w:r w:rsidRPr="00D14721">
        <w:t>langue</w:t>
      </w:r>
      <w:r w:rsidR="00106183" w:rsidRPr="00D14721">
        <w:t>s</w:t>
      </w:r>
      <w:r w:rsidRPr="00D14721">
        <w:t xml:space="preserve"> officielle</w:t>
      </w:r>
      <w:r w:rsidR="00106183" w:rsidRPr="00D14721">
        <w:t>s</w:t>
      </w:r>
      <w:r w:rsidRPr="00D14721">
        <w:t xml:space="preserve">, le parlement devrait veiller à ce que les informations et les services parlementaires soient disponibles dans toutes </w:t>
      </w:r>
      <w:r w:rsidR="00106183" w:rsidRPr="00D14721">
        <w:t>c</w:t>
      </w:r>
      <w:r w:rsidRPr="00D14721">
        <w:t xml:space="preserve">es langues et à ce que les parlementaires puissent s’exprimer dans </w:t>
      </w:r>
      <w:r w:rsidR="00106183" w:rsidRPr="00D14721">
        <w:t xml:space="preserve">n’importe quelle </w:t>
      </w:r>
      <w:r w:rsidRPr="00D14721">
        <w:t>langue officielle dans leurs activités.</w:t>
      </w:r>
    </w:p>
    <w:p w14:paraId="5C1A90EB" w14:textId="77777777" w:rsidR="00232E2C" w:rsidRPr="00D14721" w:rsidRDefault="00232E2C" w:rsidP="00232E2C"/>
    <w:p w14:paraId="02366BB4" w14:textId="77777777" w:rsidR="00D2713B" w:rsidRPr="00D14721" w:rsidRDefault="00232E2C" w:rsidP="00232E2C">
      <w:r w:rsidRPr="00D14721">
        <w:t>Outre les langues officielles, le parlement devrait s'efforcer de communiquer au moins certaines informations clés dans des langues couramment parlées dans le pays. Il peut s'agir, par exemple, de langues n'ayant pas le statut de langue officielle mais parlées par de larges pans de la population, de langues autochtones ou de langues utilisées par des groupes importants de migrants et de réfugiés.</w:t>
      </w:r>
      <w:r w:rsidR="00D2713B" w:rsidRPr="00D14721">
        <w:t xml:space="preserve"> </w:t>
      </w:r>
    </w:p>
    <w:p w14:paraId="7CCE942E" w14:textId="77777777" w:rsidR="00D2713B" w:rsidRPr="00D14721" w:rsidRDefault="00D2713B" w:rsidP="00D2713B"/>
    <w:p w14:paraId="1C17A6F8" w14:textId="77777777" w:rsidR="00D2713B" w:rsidRPr="00D14721" w:rsidRDefault="00E341D1" w:rsidP="00546C0C">
      <w:pPr>
        <w:pStyle w:val="section-title"/>
      </w:pPr>
      <w:r w:rsidRPr="00D14721">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8780"/>
      </w:tblGrid>
      <w:tr w:rsidR="00D2713B" w:rsidRPr="00D14721" w14:paraId="2928783D" w14:textId="77777777" w:rsidTr="00156617">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526D450B" w14:textId="77777777" w:rsidR="003357DC" w:rsidRPr="00D14721" w:rsidRDefault="003357DC" w:rsidP="003357DC">
            <w:pPr>
              <w:rPr>
                <w:i/>
                <w:iCs/>
              </w:rPr>
            </w:pPr>
            <w:r w:rsidRPr="00D14721">
              <w:rPr>
                <w:i/>
                <w:iCs/>
              </w:rPr>
              <w:t>Après une analyse comparative, les parlements pourraient par exemple viser les objectifs suivants en ce qui concerne l'offre de services multilingues :</w:t>
            </w:r>
          </w:p>
          <w:p w14:paraId="44FEA5BD" w14:textId="77777777" w:rsidR="003357DC" w:rsidRPr="00D14721" w:rsidRDefault="003357DC" w:rsidP="003357DC">
            <w:pPr>
              <w:rPr>
                <w:i/>
                <w:iCs/>
              </w:rPr>
            </w:pPr>
          </w:p>
          <w:p w14:paraId="78292F54" w14:textId="77777777" w:rsidR="003357DC" w:rsidRPr="00D14721" w:rsidRDefault="003357DC" w:rsidP="003357DC">
            <w:r w:rsidRPr="00D14721">
              <w:t>Dans les pays dans lesquels il existe plus</w:t>
            </w:r>
            <w:r w:rsidR="00106183" w:rsidRPr="00D14721">
              <w:t xml:space="preserve">ieurs </w:t>
            </w:r>
            <w:r w:rsidRPr="00D14721">
              <w:t>langue</w:t>
            </w:r>
            <w:r w:rsidR="00106183" w:rsidRPr="00D14721">
              <w:t>s</w:t>
            </w:r>
            <w:r w:rsidRPr="00D14721">
              <w:t xml:space="preserve"> officielle</w:t>
            </w:r>
            <w:r w:rsidR="00106183" w:rsidRPr="00D14721">
              <w:t>s</w:t>
            </w:r>
            <w:r w:rsidRPr="00D14721">
              <w:t>, les informations et les services parlementaires sont accessibles dans toutes ces langues.</w:t>
            </w:r>
          </w:p>
          <w:p w14:paraId="5F09AA64" w14:textId="77777777" w:rsidR="003357DC" w:rsidRPr="00D14721" w:rsidRDefault="003357DC" w:rsidP="003357DC"/>
          <w:p w14:paraId="10DAA85B" w14:textId="77777777" w:rsidR="003357DC" w:rsidRPr="00D14721" w:rsidRDefault="003357DC" w:rsidP="003357DC">
            <w:r w:rsidRPr="00D14721">
              <w:t>Les parlementaires sont en mesure de participer aux activités du parlement dans n'importe quelle langue officielle. En plénière et dans les commissions, l'interprétation simultanée est assurée entre les différentes langues officielles.</w:t>
            </w:r>
          </w:p>
          <w:p w14:paraId="2F795F5C" w14:textId="77777777" w:rsidR="003357DC" w:rsidRPr="00D14721" w:rsidRDefault="003357DC" w:rsidP="003357DC"/>
          <w:p w14:paraId="5E4C1E04" w14:textId="77777777" w:rsidR="00D2713B" w:rsidRPr="00D14721" w:rsidRDefault="003357DC" w:rsidP="003357DC">
            <w:r w:rsidRPr="00D14721">
              <w:t>Outre les langues officielles, le parlement s'efforce de rendre au moins les informations et les services les plus importants accessibles dans des langues couramment parlées dans le pays.</w:t>
            </w:r>
            <w:r w:rsidRPr="00D14721">
              <w:rPr>
                <w:i/>
                <w:iCs/>
              </w:rPr>
              <w:t xml:space="preserve"> </w:t>
            </w:r>
          </w:p>
        </w:tc>
      </w:tr>
    </w:tbl>
    <w:p w14:paraId="10998E82" w14:textId="77777777" w:rsidR="00D2713B" w:rsidRPr="00D14721" w:rsidRDefault="00E341D1" w:rsidP="00546C0C">
      <w:pPr>
        <w:pStyle w:val="section-title"/>
      </w:pPr>
      <w:r w:rsidRPr="00D14721">
        <w:t>Évaluation</w:t>
      </w:r>
    </w:p>
    <w:p w14:paraId="6DFCDC9A" w14:textId="77777777" w:rsidR="00DB1288" w:rsidRPr="00D14721" w:rsidRDefault="00DB1288" w:rsidP="00DB1288">
      <w:r w:rsidRPr="00D14721">
        <w:t>L'aspect examiné ici est apprécié selon plusieurs critères, qui doivent être évalués séparément.</w:t>
      </w:r>
    </w:p>
    <w:p w14:paraId="18A7F5CF" w14:textId="77777777" w:rsidR="00D2713B" w:rsidRPr="00D14721" w:rsidRDefault="00DB1288" w:rsidP="00DB1288">
      <w:pPr>
        <w:rPr>
          <w:rFonts w:eastAsia="Arial" w:cs="Arial"/>
        </w:rPr>
      </w:pPr>
      <w:r w:rsidRPr="00D14721">
        <w:t>Pour chaque critère, veuillez choisir parmi les six appréciations proposées (Néant, Médiocre, Moyen, Bon, Très bon et Excellent) celle qui correspond le mieux à la situation dans votre parlement, et fournir des éléments à l'appui de votre appréciation.</w:t>
      </w:r>
      <w:r w:rsidR="00D2713B" w:rsidRPr="00D14721">
        <w:t xml:space="preserve"> </w:t>
      </w:r>
    </w:p>
    <w:p w14:paraId="7E8DD565" w14:textId="77777777" w:rsidR="00D2713B" w:rsidRPr="00D14721" w:rsidRDefault="00D2713B" w:rsidP="00D2713B"/>
    <w:p w14:paraId="224083AC" w14:textId="77777777" w:rsidR="00D2713B" w:rsidRPr="00D14721" w:rsidRDefault="004E39E0" w:rsidP="00D2713B">
      <w:pPr>
        <w:rPr>
          <w:rFonts w:eastAsia="Arial" w:cs="Arial"/>
        </w:rPr>
      </w:pPr>
      <w:r w:rsidRPr="00D14721">
        <w:t>Exemples d'éléments permettant d'étayer l'évaluation </w:t>
      </w:r>
      <w:r w:rsidR="00D2713B" w:rsidRPr="00D14721">
        <w:t>:</w:t>
      </w:r>
    </w:p>
    <w:p w14:paraId="20081A41" w14:textId="77777777" w:rsidR="00D2713B" w:rsidRPr="00D14721" w:rsidRDefault="00D2713B" w:rsidP="00D2713B"/>
    <w:p w14:paraId="71E3EF00" w14:textId="77777777" w:rsidR="004E39E0" w:rsidRPr="00D14721" w:rsidRDefault="004E39E0" w:rsidP="004E39E0">
      <w:pPr>
        <w:pStyle w:val="Paragraphedeliste"/>
      </w:pPr>
      <w:r w:rsidRPr="00D14721">
        <w:t>Dispositions du cadre juridique ou du règlement du parlement relatives à l'offre de services multilingues</w:t>
      </w:r>
    </w:p>
    <w:p w14:paraId="5054C677" w14:textId="77777777" w:rsidR="00D2713B" w:rsidRPr="00D14721" w:rsidRDefault="004E39E0" w:rsidP="004E39E0">
      <w:pPr>
        <w:pStyle w:val="Paragraphedeliste"/>
        <w:rPr>
          <w:rFonts w:eastAsia="Arial" w:cs="Arial"/>
        </w:rPr>
      </w:pPr>
      <w:r w:rsidRPr="00D14721">
        <w:t>Données chiffrées sur l'offre de services et d'informations multilingues</w:t>
      </w:r>
    </w:p>
    <w:p w14:paraId="5F4E999F" w14:textId="77777777" w:rsidR="00D2713B" w:rsidRPr="00D14721" w:rsidRDefault="00D2713B" w:rsidP="00D2713B"/>
    <w:p w14:paraId="65685328" w14:textId="77777777" w:rsidR="00D2713B" w:rsidRPr="00D14721" w:rsidRDefault="004E39E0" w:rsidP="00D2713B">
      <w:pPr>
        <w:rPr>
          <w:rFonts w:eastAsia="Arial" w:cs="Arial"/>
        </w:rPr>
      </w:pPr>
      <w:r w:rsidRPr="00D14721">
        <w:t>Le cas échéant, merci de bien vouloir communiquer des observations ou exemples supplémentaires pour étayer l'évaluation.</w:t>
      </w:r>
    </w:p>
    <w:p w14:paraId="6E4B2309" w14:textId="77777777" w:rsidR="00E341D1" w:rsidRPr="00D14721" w:rsidRDefault="00E341D1" w:rsidP="00E341D1">
      <w:pPr>
        <w:pStyle w:val="Titre4"/>
      </w:pPr>
      <w:r w:rsidRPr="00D14721">
        <w:t xml:space="preserve">Critère d'évaluation n° 1 : </w:t>
      </w:r>
      <w:r w:rsidR="004E39E0" w:rsidRPr="00D14721">
        <w:t>Langues officielles</w:t>
      </w:r>
      <w:r w:rsidRPr="00D14721">
        <w:t xml:space="preserve"> </w:t>
      </w:r>
    </w:p>
    <w:p w14:paraId="538BF3A0" w14:textId="77777777" w:rsidR="00E341D1" w:rsidRPr="00D14721" w:rsidRDefault="004E39E0" w:rsidP="00E341D1">
      <w:pPr>
        <w:rPr>
          <w:rFonts w:eastAsia="Times New Roman" w:cs="Arial"/>
        </w:rPr>
      </w:pPr>
      <w:r w:rsidRPr="00D14721">
        <w:rPr>
          <w:rFonts w:eastAsia="Times New Roman" w:cs="Arial"/>
        </w:rPr>
        <w:t>Dans les pays dans lesquels il existe plus</w:t>
      </w:r>
      <w:r w:rsidR="00106183" w:rsidRPr="00D14721">
        <w:rPr>
          <w:rFonts w:eastAsia="Times New Roman" w:cs="Arial"/>
        </w:rPr>
        <w:t xml:space="preserve">ieurs </w:t>
      </w:r>
      <w:r w:rsidRPr="00D14721">
        <w:rPr>
          <w:rFonts w:eastAsia="Times New Roman" w:cs="Arial"/>
        </w:rPr>
        <w:t>langue</w:t>
      </w:r>
      <w:r w:rsidR="00106183" w:rsidRPr="00D14721">
        <w:rPr>
          <w:rFonts w:eastAsia="Times New Roman" w:cs="Arial"/>
        </w:rPr>
        <w:t>s</w:t>
      </w:r>
      <w:r w:rsidRPr="00D14721">
        <w:rPr>
          <w:rFonts w:eastAsia="Times New Roman" w:cs="Arial"/>
        </w:rPr>
        <w:t xml:space="preserve"> officielle</w:t>
      </w:r>
      <w:r w:rsidR="00106183" w:rsidRPr="00D14721">
        <w:rPr>
          <w:rFonts w:eastAsia="Times New Roman" w:cs="Arial"/>
        </w:rPr>
        <w:t>s</w:t>
      </w:r>
      <w:r w:rsidRPr="00D14721">
        <w:rPr>
          <w:rFonts w:eastAsia="Times New Roman" w:cs="Arial"/>
        </w:rPr>
        <w:t>, les informations et les services parlementaires sont accessibles dans toutes ces langues.</w:t>
      </w:r>
    </w:p>
    <w:p w14:paraId="3B0E1592" w14:textId="77777777" w:rsidR="00E341D1" w:rsidRPr="00D14721" w:rsidRDefault="00E341D1" w:rsidP="00E341D1"/>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E341D1" w:rsidRPr="00D14721" w14:paraId="381F7F85"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5E50B7" w14:textId="77777777" w:rsidR="00E341D1" w:rsidRPr="00D14721" w:rsidRDefault="00E341D1" w:rsidP="00156617">
            <w:pPr>
              <w:rPr>
                <w:rFonts w:cs="Arial"/>
              </w:rPr>
            </w:pPr>
            <w:r w:rsidRPr="00D14721">
              <w:t>Néant</w:t>
            </w:r>
          </w:p>
          <w:p w14:paraId="0B4B4BAF" w14:textId="77777777" w:rsidR="00E341D1" w:rsidRPr="00D14721" w:rsidRDefault="00E341D1"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62A32BD3" w14:textId="77777777" w:rsidR="00E341D1" w:rsidRPr="00D14721" w:rsidRDefault="00E341D1" w:rsidP="00156617">
            <w:pPr>
              <w:rPr>
                <w:rFonts w:cs="Arial"/>
              </w:rPr>
            </w:pPr>
            <w:r w:rsidRPr="00D14721">
              <w:t xml:space="preserve">Médiocre </w:t>
            </w:r>
          </w:p>
          <w:p w14:paraId="28D520C9" w14:textId="77777777" w:rsidR="00E341D1" w:rsidRPr="00D14721" w:rsidRDefault="00E341D1"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13577E69" w14:textId="77777777" w:rsidR="00E341D1" w:rsidRPr="00D14721" w:rsidRDefault="00E341D1" w:rsidP="00156617">
            <w:pPr>
              <w:rPr>
                <w:rFonts w:cs="Arial"/>
              </w:rPr>
            </w:pPr>
            <w:r w:rsidRPr="00D14721">
              <w:rPr>
                <w:rFonts w:cs="Arial"/>
              </w:rPr>
              <w:t>Moyen</w:t>
            </w:r>
          </w:p>
          <w:p w14:paraId="1E994F40" w14:textId="77777777" w:rsidR="00E341D1" w:rsidRPr="00D14721" w:rsidRDefault="00E341D1"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7A81FA33" w14:textId="77777777" w:rsidR="00E341D1" w:rsidRPr="00D14721" w:rsidRDefault="00E341D1" w:rsidP="00156617">
            <w:pPr>
              <w:rPr>
                <w:rFonts w:cs="Arial"/>
              </w:rPr>
            </w:pPr>
            <w:r w:rsidRPr="00D14721">
              <w:rPr>
                <w:rFonts w:cs="Arial"/>
              </w:rPr>
              <w:t>Bon</w:t>
            </w:r>
          </w:p>
          <w:p w14:paraId="67688052" w14:textId="77777777" w:rsidR="00E341D1" w:rsidRPr="00D14721" w:rsidRDefault="00E341D1"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2F0FA521" w14:textId="77777777" w:rsidR="00E341D1" w:rsidRPr="00D14721" w:rsidRDefault="00E341D1" w:rsidP="00156617">
            <w:pPr>
              <w:rPr>
                <w:rFonts w:cs="Arial"/>
              </w:rPr>
            </w:pPr>
            <w:r w:rsidRPr="00D14721">
              <w:t>Très bon</w:t>
            </w:r>
          </w:p>
          <w:p w14:paraId="063EA694" w14:textId="77777777" w:rsidR="00E341D1" w:rsidRPr="00D14721" w:rsidRDefault="00E341D1" w:rsidP="00156617">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2C892919" w14:textId="77777777" w:rsidR="00E341D1" w:rsidRPr="00D14721" w:rsidRDefault="00E341D1" w:rsidP="00156617">
            <w:pPr>
              <w:rPr>
                <w:rFonts w:cs="Arial"/>
              </w:rPr>
            </w:pPr>
            <w:r w:rsidRPr="00D14721">
              <w:t>Excellent</w:t>
            </w:r>
          </w:p>
          <w:p w14:paraId="24FA79CD" w14:textId="77777777" w:rsidR="00E341D1" w:rsidRPr="00D14721" w:rsidRDefault="00E341D1" w:rsidP="00156617">
            <w:r w:rsidRPr="00D14721">
              <w:rPr>
                <w:rFonts w:ascii="Segoe UI Symbol" w:hAnsi="Segoe UI Symbol" w:cs="Segoe UI Symbol"/>
              </w:rPr>
              <w:t>☐</w:t>
            </w:r>
          </w:p>
        </w:tc>
      </w:tr>
      <w:tr w:rsidR="00E341D1" w:rsidRPr="00D14721" w14:paraId="022B78A4"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BE730" w14:textId="77777777" w:rsidR="00E341D1" w:rsidRPr="00D14721" w:rsidRDefault="00E341D1" w:rsidP="00156617">
            <w:r w:rsidRPr="00D14721">
              <w:t xml:space="preserve">Éléments à l'appui de l'évaluation : </w:t>
            </w:r>
          </w:p>
          <w:p w14:paraId="6590D60E" w14:textId="77777777" w:rsidR="00E341D1" w:rsidRPr="00D14721" w:rsidRDefault="00E341D1" w:rsidP="00156617"/>
          <w:p w14:paraId="0070CB14" w14:textId="77777777" w:rsidR="00E341D1" w:rsidRPr="00D14721" w:rsidRDefault="00E341D1" w:rsidP="00156617"/>
        </w:tc>
      </w:tr>
    </w:tbl>
    <w:p w14:paraId="58BFCBCC" w14:textId="77777777" w:rsidR="00E341D1" w:rsidRPr="00D14721" w:rsidRDefault="00E341D1" w:rsidP="00E341D1"/>
    <w:p w14:paraId="50FA3A7E" w14:textId="77777777" w:rsidR="00E341D1" w:rsidRPr="00D14721" w:rsidRDefault="00E341D1" w:rsidP="00E341D1">
      <w:pPr>
        <w:rPr>
          <w:rFonts w:eastAsia="Malgun Gothic" w:cs="Times New Roman"/>
          <w:b/>
          <w:iCs/>
        </w:rPr>
      </w:pPr>
      <w:r w:rsidRPr="00D14721">
        <w:rPr>
          <w:rFonts w:eastAsia="Malgun Gothic" w:cs="Times New Roman"/>
          <w:b/>
          <w:iCs/>
        </w:rPr>
        <w:t xml:space="preserve">Critère d'évaluation n° 2 :   </w:t>
      </w:r>
      <w:r w:rsidR="004E39E0" w:rsidRPr="00D14721">
        <w:rPr>
          <w:rFonts w:eastAsia="Malgun Gothic" w:cs="Times New Roman"/>
          <w:b/>
          <w:iCs/>
        </w:rPr>
        <w:t>Langues parlées par les parlementaires</w:t>
      </w:r>
    </w:p>
    <w:p w14:paraId="2AA2DC26" w14:textId="77777777" w:rsidR="00E341D1" w:rsidRPr="00D14721" w:rsidRDefault="00E341D1" w:rsidP="00E341D1">
      <w:pPr>
        <w:rPr>
          <w:rFonts w:eastAsia="Malgun Gothic" w:cs="Times New Roman"/>
          <w:b/>
          <w:iCs/>
        </w:rPr>
      </w:pPr>
      <w:r w:rsidRPr="00D14721">
        <w:rPr>
          <w:rFonts w:eastAsia="Malgun Gothic" w:cs="Times New Roman"/>
          <w:b/>
          <w:iCs/>
        </w:rPr>
        <w:t xml:space="preserve">   </w:t>
      </w:r>
    </w:p>
    <w:p w14:paraId="44E4789E" w14:textId="77777777" w:rsidR="00E341D1" w:rsidRPr="00D14721" w:rsidRDefault="004E39E0" w:rsidP="004E39E0">
      <w:pPr>
        <w:rPr>
          <w:rFonts w:eastAsia="Malgun Gothic" w:cs="Times New Roman"/>
          <w:bCs/>
          <w:iCs/>
        </w:rPr>
      </w:pPr>
      <w:r w:rsidRPr="00D14721">
        <w:rPr>
          <w:rFonts w:eastAsia="Malgun Gothic" w:cs="Times New Roman"/>
          <w:bCs/>
          <w:iCs/>
        </w:rPr>
        <w:t>Les parlementaires sont en mesure de participer aux activités du parlement dans n'importe quelle langue officielle. En plénière et dans les commissions, l'interprétation simultanée est assurée entre les différentes langues officielles.</w:t>
      </w:r>
    </w:p>
    <w:p w14:paraId="0BF424EF" w14:textId="77777777" w:rsidR="00E341D1" w:rsidRPr="00D14721" w:rsidRDefault="00E341D1" w:rsidP="00E341D1"/>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E341D1" w:rsidRPr="00D14721" w14:paraId="48E85F77"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039AF01" w14:textId="77777777" w:rsidR="00E341D1" w:rsidRPr="00D14721" w:rsidRDefault="00E341D1" w:rsidP="00156617">
            <w:pPr>
              <w:rPr>
                <w:rFonts w:cs="Arial"/>
              </w:rPr>
            </w:pPr>
            <w:r w:rsidRPr="00D14721">
              <w:t>Néant</w:t>
            </w:r>
          </w:p>
          <w:p w14:paraId="2FFB8C76" w14:textId="77777777" w:rsidR="00E341D1" w:rsidRPr="00D14721" w:rsidRDefault="00E341D1"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60484F33" w14:textId="77777777" w:rsidR="00E341D1" w:rsidRPr="00D14721" w:rsidRDefault="00E341D1" w:rsidP="00156617">
            <w:pPr>
              <w:rPr>
                <w:rFonts w:cs="Arial"/>
              </w:rPr>
            </w:pPr>
            <w:r w:rsidRPr="00D14721">
              <w:t xml:space="preserve">Médiocre </w:t>
            </w:r>
          </w:p>
          <w:p w14:paraId="51134A8B" w14:textId="77777777" w:rsidR="00E341D1" w:rsidRPr="00D14721" w:rsidRDefault="00E341D1"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6C1F895D" w14:textId="77777777" w:rsidR="00E341D1" w:rsidRPr="00D14721" w:rsidRDefault="00E341D1" w:rsidP="00156617">
            <w:pPr>
              <w:rPr>
                <w:rFonts w:cs="Arial"/>
              </w:rPr>
            </w:pPr>
            <w:r w:rsidRPr="00D14721">
              <w:rPr>
                <w:rFonts w:cs="Arial"/>
              </w:rPr>
              <w:t>Moyen</w:t>
            </w:r>
          </w:p>
          <w:p w14:paraId="10E5B0F2" w14:textId="77777777" w:rsidR="00E341D1" w:rsidRPr="00D14721" w:rsidRDefault="00E341D1"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56C1E6A4" w14:textId="77777777" w:rsidR="00E341D1" w:rsidRPr="00D14721" w:rsidRDefault="00E341D1" w:rsidP="00156617">
            <w:pPr>
              <w:rPr>
                <w:rFonts w:cs="Arial"/>
              </w:rPr>
            </w:pPr>
            <w:r w:rsidRPr="00D14721">
              <w:rPr>
                <w:rFonts w:cs="Arial"/>
              </w:rPr>
              <w:t>Bon</w:t>
            </w:r>
          </w:p>
          <w:p w14:paraId="67B9FA4B" w14:textId="77777777" w:rsidR="00E341D1" w:rsidRPr="00D14721" w:rsidRDefault="00E341D1"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64C3EB7B" w14:textId="77777777" w:rsidR="00E341D1" w:rsidRPr="00D14721" w:rsidRDefault="00E341D1" w:rsidP="00156617">
            <w:pPr>
              <w:rPr>
                <w:rFonts w:cs="Arial"/>
              </w:rPr>
            </w:pPr>
            <w:r w:rsidRPr="00D14721">
              <w:t>Très bon</w:t>
            </w:r>
          </w:p>
          <w:p w14:paraId="4B2DBE86" w14:textId="77777777" w:rsidR="00E341D1" w:rsidRPr="00D14721" w:rsidRDefault="00E341D1" w:rsidP="00156617">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34F309A6" w14:textId="77777777" w:rsidR="00E341D1" w:rsidRPr="00D14721" w:rsidRDefault="00E341D1" w:rsidP="00156617">
            <w:pPr>
              <w:rPr>
                <w:rFonts w:cs="Arial"/>
              </w:rPr>
            </w:pPr>
            <w:r w:rsidRPr="00D14721">
              <w:t>Excellent</w:t>
            </w:r>
          </w:p>
          <w:p w14:paraId="6AC5FF84" w14:textId="77777777" w:rsidR="00E341D1" w:rsidRPr="00D14721" w:rsidRDefault="00E341D1" w:rsidP="00156617">
            <w:r w:rsidRPr="00D14721">
              <w:rPr>
                <w:rFonts w:ascii="Segoe UI Symbol" w:hAnsi="Segoe UI Symbol" w:cs="Segoe UI Symbol"/>
              </w:rPr>
              <w:t>☐</w:t>
            </w:r>
          </w:p>
        </w:tc>
      </w:tr>
      <w:tr w:rsidR="00E341D1" w:rsidRPr="00D14721" w14:paraId="5B79F4FE"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A34375" w14:textId="77777777" w:rsidR="00E341D1" w:rsidRPr="00D14721" w:rsidRDefault="00E341D1" w:rsidP="00156617">
            <w:r w:rsidRPr="00D14721">
              <w:t xml:space="preserve">Éléments à l'appui de l'évaluation : </w:t>
            </w:r>
          </w:p>
          <w:p w14:paraId="335F9035" w14:textId="77777777" w:rsidR="00E341D1" w:rsidRPr="00D14721" w:rsidRDefault="00E341D1" w:rsidP="00156617"/>
          <w:p w14:paraId="742C1DA3" w14:textId="77777777" w:rsidR="00E341D1" w:rsidRPr="00D14721" w:rsidRDefault="00E341D1" w:rsidP="00156617"/>
        </w:tc>
      </w:tr>
    </w:tbl>
    <w:p w14:paraId="70B89AFF" w14:textId="77777777" w:rsidR="00E341D1" w:rsidRPr="00D14721" w:rsidRDefault="00E341D1" w:rsidP="00E341D1">
      <w:pPr>
        <w:pStyle w:val="Titre4"/>
      </w:pPr>
      <w:r w:rsidRPr="00D14721">
        <w:t xml:space="preserve">Critère d’évaluation n° 3 : </w:t>
      </w:r>
      <w:r w:rsidR="004E39E0" w:rsidRPr="00D14721">
        <w:t>Autres langues couramment parlées</w:t>
      </w:r>
    </w:p>
    <w:p w14:paraId="751F29F6" w14:textId="77777777" w:rsidR="00E341D1" w:rsidRPr="00D14721" w:rsidRDefault="004E39E0" w:rsidP="00E341D1">
      <w:pPr>
        <w:rPr>
          <w:rFonts w:eastAsia="Times New Roman" w:cs="Arial"/>
          <w:sz w:val="16"/>
        </w:rPr>
      </w:pPr>
      <w:r w:rsidRPr="00D14721">
        <w:t>Outre les langues officielles, le parlement s'efforce de rendre au moins les informations et les services les plus importants accessibles dans des langues couramment parlées dans le pays.</w:t>
      </w:r>
    </w:p>
    <w:p w14:paraId="4799AFFD" w14:textId="77777777" w:rsidR="00E341D1" w:rsidRPr="00D14721" w:rsidRDefault="00E341D1" w:rsidP="00E341D1"/>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E341D1" w:rsidRPr="00D14721" w14:paraId="19429BED" w14:textId="77777777" w:rsidTr="001566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E014CDB" w14:textId="77777777" w:rsidR="00E341D1" w:rsidRPr="00D14721" w:rsidRDefault="00E341D1" w:rsidP="00156617">
            <w:pPr>
              <w:rPr>
                <w:rFonts w:cs="Arial"/>
              </w:rPr>
            </w:pPr>
            <w:r w:rsidRPr="00D14721">
              <w:t>Néant</w:t>
            </w:r>
          </w:p>
          <w:p w14:paraId="42EE667E" w14:textId="77777777" w:rsidR="00E341D1" w:rsidRPr="00D14721" w:rsidRDefault="00E341D1"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4EDED035" w14:textId="77777777" w:rsidR="00E341D1" w:rsidRPr="00D14721" w:rsidRDefault="00E341D1" w:rsidP="00156617">
            <w:pPr>
              <w:rPr>
                <w:rFonts w:cs="Arial"/>
              </w:rPr>
            </w:pPr>
            <w:r w:rsidRPr="00D14721">
              <w:t xml:space="preserve">Médiocre </w:t>
            </w:r>
          </w:p>
          <w:p w14:paraId="54E65253" w14:textId="77777777" w:rsidR="00E341D1" w:rsidRPr="00D14721" w:rsidRDefault="00E341D1"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22F12886" w14:textId="77777777" w:rsidR="00E341D1" w:rsidRPr="00D14721" w:rsidRDefault="00E341D1" w:rsidP="00156617">
            <w:pPr>
              <w:rPr>
                <w:rFonts w:cs="Arial"/>
              </w:rPr>
            </w:pPr>
            <w:r w:rsidRPr="00D14721">
              <w:rPr>
                <w:rFonts w:cs="Arial"/>
              </w:rPr>
              <w:t>Moyen</w:t>
            </w:r>
          </w:p>
          <w:p w14:paraId="18AC6583" w14:textId="77777777" w:rsidR="00E341D1" w:rsidRPr="00D14721" w:rsidRDefault="00E341D1"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28BF1B59" w14:textId="77777777" w:rsidR="00E341D1" w:rsidRPr="00D14721" w:rsidRDefault="00E341D1" w:rsidP="00156617">
            <w:pPr>
              <w:rPr>
                <w:rFonts w:cs="Arial"/>
              </w:rPr>
            </w:pPr>
            <w:r w:rsidRPr="00D14721">
              <w:rPr>
                <w:rFonts w:cs="Arial"/>
              </w:rPr>
              <w:t>Bon</w:t>
            </w:r>
          </w:p>
          <w:p w14:paraId="4688E71E" w14:textId="77777777" w:rsidR="00E341D1" w:rsidRPr="00D14721" w:rsidRDefault="00E341D1" w:rsidP="00156617">
            <w:r w:rsidRPr="00D14721">
              <w:rPr>
                <w:rFonts w:ascii="Segoe UI Symbol" w:hAnsi="Segoe UI Symbol" w:cs="Segoe UI Symbol"/>
              </w:rPr>
              <w:t>☐</w:t>
            </w:r>
          </w:p>
        </w:tc>
        <w:tc>
          <w:tcPr>
            <w:tcW w:w="833" w:type="pct"/>
            <w:tcBorders>
              <w:top w:val="single" w:sz="4" w:space="0" w:color="000000"/>
              <w:left w:val="single" w:sz="4" w:space="0" w:color="000000"/>
              <w:bottom w:val="single" w:sz="4" w:space="0" w:color="000000"/>
              <w:right w:val="single" w:sz="4" w:space="0" w:color="000000"/>
            </w:tcBorders>
            <w:hideMark/>
          </w:tcPr>
          <w:p w14:paraId="0D17562C" w14:textId="77777777" w:rsidR="00E341D1" w:rsidRPr="00D14721" w:rsidRDefault="00E341D1" w:rsidP="00156617">
            <w:pPr>
              <w:rPr>
                <w:rFonts w:cs="Arial"/>
              </w:rPr>
            </w:pPr>
            <w:r w:rsidRPr="00D14721">
              <w:t>Très bon</w:t>
            </w:r>
          </w:p>
          <w:p w14:paraId="53519B84" w14:textId="77777777" w:rsidR="00E341D1" w:rsidRPr="00D14721" w:rsidRDefault="00E341D1" w:rsidP="00156617">
            <w:r w:rsidRPr="00D14721">
              <w:rPr>
                <w:rFonts w:ascii="Segoe UI Symbol" w:hAnsi="Segoe UI Symbol" w:cs="Segoe UI Symbol"/>
              </w:rPr>
              <w:t>☐</w:t>
            </w:r>
          </w:p>
        </w:tc>
        <w:tc>
          <w:tcPr>
            <w:tcW w:w="835" w:type="pct"/>
            <w:tcBorders>
              <w:top w:val="single" w:sz="4" w:space="0" w:color="000000"/>
              <w:left w:val="single" w:sz="4" w:space="0" w:color="000000"/>
              <w:bottom w:val="single" w:sz="4" w:space="0" w:color="000000"/>
              <w:right w:val="single" w:sz="4" w:space="0" w:color="000000"/>
            </w:tcBorders>
            <w:hideMark/>
          </w:tcPr>
          <w:p w14:paraId="7CC8065E" w14:textId="77777777" w:rsidR="00E341D1" w:rsidRPr="00D14721" w:rsidRDefault="00E341D1" w:rsidP="00156617">
            <w:pPr>
              <w:rPr>
                <w:rFonts w:cs="Arial"/>
              </w:rPr>
            </w:pPr>
            <w:r w:rsidRPr="00D14721">
              <w:t>Excellent</w:t>
            </w:r>
          </w:p>
          <w:p w14:paraId="20A9482D" w14:textId="77777777" w:rsidR="00E341D1" w:rsidRPr="00D14721" w:rsidRDefault="00E341D1" w:rsidP="00156617">
            <w:r w:rsidRPr="00D14721">
              <w:rPr>
                <w:rFonts w:ascii="Segoe UI Symbol" w:hAnsi="Segoe UI Symbol" w:cs="Segoe UI Symbol"/>
              </w:rPr>
              <w:t>☐</w:t>
            </w:r>
          </w:p>
        </w:tc>
      </w:tr>
      <w:tr w:rsidR="00E341D1" w:rsidRPr="00D14721" w14:paraId="310F574B" w14:textId="77777777" w:rsidTr="001566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481B4" w14:textId="77777777" w:rsidR="00E341D1" w:rsidRPr="00D14721" w:rsidRDefault="00E341D1" w:rsidP="00156617">
            <w:r w:rsidRPr="00D14721">
              <w:t xml:space="preserve">Éléments à l'appui de l'évaluation : </w:t>
            </w:r>
          </w:p>
          <w:p w14:paraId="49D0AF7B" w14:textId="77777777" w:rsidR="00E341D1" w:rsidRPr="00D14721" w:rsidRDefault="00E341D1" w:rsidP="00156617"/>
          <w:p w14:paraId="65E8DA66" w14:textId="77777777" w:rsidR="00E341D1" w:rsidRPr="00D14721" w:rsidRDefault="00E341D1" w:rsidP="00156617"/>
        </w:tc>
      </w:tr>
    </w:tbl>
    <w:p w14:paraId="3494A2BA" w14:textId="77777777" w:rsidR="00E341D1" w:rsidRPr="00D14721" w:rsidRDefault="00E341D1" w:rsidP="00546C0C">
      <w:pPr>
        <w:pStyle w:val="section-title"/>
      </w:pPr>
    </w:p>
    <w:p w14:paraId="4533822D" w14:textId="77777777" w:rsidR="00E341D1" w:rsidRPr="00D14721" w:rsidRDefault="00E341D1" w:rsidP="00546C0C">
      <w:pPr>
        <w:pStyle w:val="section-title"/>
      </w:pPr>
      <w:r w:rsidRPr="00D14721">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780"/>
      </w:tblGrid>
      <w:tr w:rsidR="00E341D1" w:rsidRPr="00D14721" w14:paraId="343BAC77" w14:textId="77777777" w:rsidTr="0015661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415D28F" w14:textId="77777777" w:rsidR="00E341D1" w:rsidRPr="00D14721" w:rsidRDefault="00E341D1" w:rsidP="00156617">
            <w:r w:rsidRPr="00D14721">
              <w:rPr>
                <w:i/>
                <w:color w:val="000000"/>
              </w:rPr>
              <w:t>Dans cet encadré, notez les recommandations et les idées visant à renforcer les règles et la pratique dans ce domaine.</w:t>
            </w:r>
          </w:p>
        </w:tc>
      </w:tr>
    </w:tbl>
    <w:p w14:paraId="70541603" w14:textId="77777777" w:rsidR="00D2713B" w:rsidRPr="00D14721" w:rsidRDefault="00E341D1" w:rsidP="00546C0C">
      <w:pPr>
        <w:pStyle w:val="section-title"/>
      </w:pPr>
      <w:r w:rsidRPr="00D14721">
        <w:t>Sources et autre documentation</w:t>
      </w:r>
    </w:p>
    <w:p w14:paraId="64DD678D" w14:textId="2C7F6EB8" w:rsidR="00D2713B" w:rsidRPr="004966DC" w:rsidRDefault="00E341D1" w:rsidP="00D2713B">
      <w:pPr>
        <w:pStyle w:val="Paragraphedeliste"/>
        <w:rPr>
          <w:rFonts w:eastAsia="Arial" w:cs="Arial"/>
          <w:color w:val="000000"/>
          <w:lang w:val="en-US"/>
        </w:rPr>
      </w:pPr>
      <w:r w:rsidRPr="004966DC">
        <w:rPr>
          <w:color w:val="000000"/>
          <w:lang w:val="en-US"/>
        </w:rPr>
        <w:t xml:space="preserve">Association parlementaire du </w:t>
      </w:r>
      <w:r w:rsidR="00D2713B" w:rsidRPr="004966DC">
        <w:rPr>
          <w:color w:val="000000"/>
          <w:lang w:val="en-US"/>
        </w:rPr>
        <w:t>Commonwealth (A</w:t>
      </w:r>
      <w:r w:rsidRPr="004966DC">
        <w:rPr>
          <w:color w:val="000000"/>
          <w:lang w:val="en-US"/>
        </w:rPr>
        <w:t>PC</w:t>
      </w:r>
      <w:r w:rsidR="00D2713B" w:rsidRPr="004966DC">
        <w:rPr>
          <w:color w:val="000000"/>
          <w:lang w:val="en-US"/>
        </w:rPr>
        <w:t xml:space="preserve">), </w:t>
      </w:r>
      <w:hyperlink r:id="rId23">
        <w:r w:rsidR="00D2713B" w:rsidRPr="004966DC">
          <w:rPr>
            <w:i/>
            <w:color w:val="0563C1"/>
            <w:u w:val="single"/>
            <w:lang w:val="en-US"/>
          </w:rPr>
          <w:t>Recommended Benchmarks for Democratic Legislatures</w:t>
        </w:r>
      </w:hyperlink>
      <w:r w:rsidR="00D14721" w:rsidRPr="004966DC">
        <w:rPr>
          <w:color w:val="000000"/>
          <w:lang w:val="en-US"/>
        </w:rPr>
        <w:t xml:space="preserve"> (</w:t>
      </w:r>
      <w:r w:rsidR="00D2713B" w:rsidRPr="004966DC">
        <w:rPr>
          <w:color w:val="000000"/>
          <w:lang w:val="en-US"/>
        </w:rPr>
        <w:t>2018).</w:t>
      </w:r>
    </w:p>
    <w:p w14:paraId="1CDA6CCF" w14:textId="77777777" w:rsidR="00D2713B" w:rsidRPr="004966DC" w:rsidRDefault="00D2713B" w:rsidP="00D2713B">
      <w:pPr>
        <w:rPr>
          <w:lang w:val="en-US"/>
        </w:rPr>
      </w:pPr>
    </w:p>
    <w:p w14:paraId="028CF9D9" w14:textId="77777777" w:rsidR="00156617" w:rsidRPr="004966DC" w:rsidRDefault="00156617" w:rsidP="00D2713B">
      <w:pPr>
        <w:pStyle w:val="Titre4"/>
        <w:rPr>
          <w:lang w:val="en-US"/>
        </w:rPr>
      </w:pPr>
    </w:p>
    <w:sectPr w:rsidR="00156617" w:rsidRPr="004966DC" w:rsidSect="004966DC">
      <w:headerReference w:type="default" r:id="rId24"/>
      <w:footerReference w:type="default" r:id="rId25"/>
      <w:headerReference w:type="first" r:id="rId26"/>
      <w:footerReference w:type="first" r:id="rId27"/>
      <w:pgSz w:w="11900" w:h="16840" w:code="9"/>
      <w:pgMar w:top="1411" w:right="1411" w:bottom="1411" w:left="1699" w:header="432" w:footer="43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C51B7" w14:textId="77777777" w:rsidR="00A710AE" w:rsidRDefault="00A710AE">
      <w:r>
        <w:separator/>
      </w:r>
    </w:p>
  </w:endnote>
  <w:endnote w:type="continuationSeparator" w:id="0">
    <w:p w14:paraId="2DD84AFB" w14:textId="77777777" w:rsidR="00A710AE" w:rsidRDefault="00A7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505775"/>
      <w:docPartObj>
        <w:docPartGallery w:val="Page Numbers (Bottom of Page)"/>
        <w:docPartUnique/>
      </w:docPartObj>
    </w:sdtPr>
    <w:sdtEndPr>
      <w:rPr>
        <w:noProof/>
      </w:rPr>
    </w:sdtEndPr>
    <w:sdtContent>
      <w:p w14:paraId="6A7EDBFA" w14:textId="5F10FDCE" w:rsidR="00156617" w:rsidRPr="004966DC" w:rsidRDefault="004966DC" w:rsidP="004966DC">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8CAA" w14:textId="77777777" w:rsidR="004966DC" w:rsidRPr="007B30A2" w:rsidRDefault="004966DC" w:rsidP="004966DC">
    <w:pPr>
      <w:pStyle w:val="NormalWeb"/>
      <w:rPr>
        <w:rFonts w:ascii="Arial" w:hAnsi="Arial" w:cs="Arial"/>
        <w:sz w:val="20"/>
        <w:szCs w:val="20"/>
        <w:lang w:val="fr-CH"/>
      </w:rPr>
    </w:pPr>
    <w:r w:rsidRPr="007B30A2">
      <w:rPr>
        <w:rFonts w:ascii="Arial" w:hAnsi="Arial" w:cs="Arial"/>
        <w:sz w:val="20"/>
        <w:szCs w:val="20"/>
        <w:lang w:val="fr-CH"/>
      </w:rPr>
      <w:t>_______________</w:t>
    </w:r>
  </w:p>
  <w:p w14:paraId="063116CD" w14:textId="77777777" w:rsidR="004966DC" w:rsidRPr="001C645E" w:rsidRDefault="004966DC" w:rsidP="004966DC">
    <w:pPr>
      <w:pStyle w:val="NormalWeb"/>
      <w:rPr>
        <w:rFonts w:ascii="Arial" w:hAnsi="Arial" w:cs="Arial"/>
        <w:sz w:val="20"/>
        <w:szCs w:val="20"/>
      </w:rPr>
    </w:pPr>
    <w:r w:rsidRPr="001C645E">
      <w:rPr>
        <w:rFonts w:ascii="Arial" w:hAnsi="Arial" w:cs="Arial"/>
        <w:sz w:val="20"/>
        <w:szCs w:val="20"/>
      </w:rPr>
      <w:t xml:space="preserve">Les Indicateurs pour des parlements démocratiques sont une initiative multipartenaires coordonnée par l'Union interparlementaire (UIP), en partenariat avec l'Association parlementaire du Commonwealth (APC), la Fondation Directorio Legislativo, Inter Pares/International IDEA, le National Democratic Institute (NDI), le Programme des Nations unies pour le développement (PNUD), ONU Femmes et la Westminster Foundation for Democracy (WFD). </w:t>
    </w:r>
  </w:p>
  <w:p w14:paraId="7D3F4880" w14:textId="27613477" w:rsidR="004966DC" w:rsidRPr="004966DC" w:rsidRDefault="004966DC" w:rsidP="004966DC">
    <w:pPr>
      <w:pStyle w:val="NormalWeb"/>
      <w:rPr>
        <w:rFonts w:ascii="Arial" w:hAnsi="Arial" w:cs="Arial"/>
        <w:sz w:val="20"/>
        <w:szCs w:val="20"/>
      </w:rPr>
    </w:pPr>
    <w:r w:rsidRPr="001C645E">
      <w:rPr>
        <w:rFonts w:ascii="Arial" w:hAnsi="Arial" w:cs="Arial"/>
        <w:sz w:val="20"/>
        <w:szCs w:val="20"/>
      </w:rPr>
      <w:t>Les Indicateurs sont publiés</w:t>
    </w:r>
    <w:r>
      <w:rPr>
        <w:rFonts w:ascii="Arial" w:hAnsi="Arial" w:cs="Arial"/>
        <w:sz w:val="20"/>
        <w:szCs w:val="20"/>
      </w:rPr>
      <w:t xml:space="preserve"> sur le site</w:t>
    </w:r>
    <w:r w:rsidRPr="001C645E">
      <w:rPr>
        <w:rFonts w:ascii="Arial" w:hAnsi="Arial" w:cs="Arial"/>
        <w:sz w:val="20"/>
        <w:szCs w:val="20"/>
      </w:rPr>
      <w:t xml:space="preserve"> </w:t>
    </w:r>
    <w:hyperlink r:id="rId1" w:history="1">
      <w:r w:rsidRPr="001C645E">
        <w:rPr>
          <w:rStyle w:val="Lienhypertexte"/>
          <w:rFonts w:ascii="Arial" w:hAnsi="Arial" w:cs="Arial"/>
          <w:sz w:val="20"/>
          <w:szCs w:val="20"/>
        </w:rPr>
        <w:t>www.parliamentaryindicators.org</w:t>
      </w:r>
    </w:hyperlink>
    <w:r w:rsidRPr="001C645E">
      <w:rPr>
        <w:rFonts w:ascii="Arial" w:hAnsi="Arial" w:cs="Arial"/>
        <w:sz w:val="20"/>
        <w:szCs w:val="20"/>
      </w:rPr>
      <w:t xml:space="preserve"> </w:t>
    </w:r>
    <w:r>
      <w:rPr>
        <w:rFonts w:ascii="Arial" w:hAnsi="Arial" w:cs="Arial"/>
        <w:sz w:val="20"/>
        <w:szCs w:val="20"/>
      </w:rPr>
      <w:t>sous licence</w:t>
    </w:r>
    <w:r w:rsidRPr="001C645E">
      <w:rPr>
        <w:rFonts w:ascii="Arial" w:hAnsi="Arial" w:cs="Arial"/>
        <w:sz w:val="20"/>
        <w:szCs w:val="20"/>
      </w:rPr>
      <w:t xml:space="preserve"> Creative Commons </w:t>
    </w:r>
    <w:hyperlink r:id="rId2" w:history="1">
      <w:r w:rsidRPr="001C645E">
        <w:rPr>
          <w:rStyle w:val="Lienhypertexte"/>
          <w:rFonts w:ascii="Arial" w:hAnsi="Arial" w:cs="Arial"/>
          <w:sz w:val="20"/>
          <w:szCs w:val="20"/>
        </w:rPr>
        <w:t>CC BY-NC-SA 4.0</w:t>
      </w:r>
    </w:hyperlink>
    <w:r w:rsidRPr="001C645E">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FD222" w14:textId="77777777" w:rsidR="00A710AE" w:rsidRDefault="00A710AE">
      <w:r>
        <w:separator/>
      </w:r>
    </w:p>
  </w:footnote>
  <w:footnote w:type="continuationSeparator" w:id="0">
    <w:p w14:paraId="3A32F359" w14:textId="77777777" w:rsidR="00A710AE" w:rsidRDefault="00A71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2647" w14:textId="778F0295" w:rsidR="004966DC" w:rsidRPr="00906A25" w:rsidRDefault="004966DC" w:rsidP="004966DC">
    <w:pPr>
      <w:pStyle w:val="En-tte"/>
      <w:rPr>
        <w:rFonts w:cs="Arial"/>
        <w:b/>
        <w:bCs/>
        <w:lang w:val="fr-CH"/>
      </w:rPr>
    </w:pPr>
    <w:bookmarkStart w:id="18" w:name="_Hlk146872618"/>
    <w:bookmarkStart w:id="19" w:name="_Hlk148252784"/>
    <w:bookmarkStart w:id="20" w:name="_Hlk148252785"/>
    <w:bookmarkStart w:id="21" w:name="_Hlk148252869"/>
    <w:bookmarkStart w:id="22" w:name="_Hlk148252870"/>
    <w:bookmarkStart w:id="23" w:name="_Hlk148252876"/>
    <w:bookmarkStart w:id="24" w:name="_Hlk148252877"/>
    <w:bookmarkStart w:id="25" w:name="_Hlk148252878"/>
    <w:bookmarkStart w:id="26" w:name="_Hlk148252879"/>
    <w:bookmarkStart w:id="27" w:name="_Hlk148252880"/>
    <w:bookmarkStart w:id="28" w:name="_Hlk148252881"/>
    <w:bookmarkStart w:id="29" w:name="_Hlk148252882"/>
    <w:bookmarkStart w:id="30" w:name="_Hlk148252883"/>
    <w:bookmarkStart w:id="31" w:name="_Hlk148252884"/>
    <w:bookmarkStart w:id="32" w:name="_Hlk148252885"/>
    <w:bookmarkStart w:id="33" w:name="_Hlk148252886"/>
    <w:bookmarkStart w:id="34" w:name="_Hlk148252887"/>
    <w:bookmarkStart w:id="35" w:name="_Hlk148252888"/>
    <w:bookmarkStart w:id="36" w:name="_Hlk148252889"/>
    <w:bookmarkStart w:id="37" w:name="_Hlk148252899"/>
    <w:bookmarkStart w:id="38" w:name="_Hlk148252900"/>
    <w:bookmarkStart w:id="39" w:name="_Hlk148252901"/>
    <w:bookmarkStart w:id="40" w:name="_Hlk148252902"/>
    <w:bookmarkStart w:id="41" w:name="_Hlk148253093"/>
    <w:bookmarkStart w:id="42" w:name="_Hlk148253094"/>
    <w:r w:rsidRPr="00906A25">
      <w:rPr>
        <w:rFonts w:cs="Arial"/>
        <w:b/>
        <w:bCs/>
      </w:rPr>
      <w:t>Indicateurs pour des parlements démocratiques</w:t>
    </w:r>
    <w:r w:rsidRPr="00906A25">
      <w:rPr>
        <w:rFonts w:cs="Arial"/>
        <w:b/>
        <w:bCs/>
        <w:lang w:val="fr-CH"/>
      </w:rPr>
      <w:tab/>
      <w:t>www.parliamentaryindicators.org</w:t>
    </w:r>
    <w:bookmarkEnd w:id="18"/>
  </w:p>
  <w:p w14:paraId="47A53886" w14:textId="77777777" w:rsidR="004966DC" w:rsidRPr="00906A25" w:rsidRDefault="004966DC" w:rsidP="004966DC">
    <w:pPr>
      <w:pStyle w:val="En-tte"/>
      <w:rPr>
        <w:rFonts w:cs="Arial"/>
        <w:lang w:val="en-US"/>
      </w:rPr>
    </w:pPr>
    <w:r w:rsidRPr="00906A25">
      <w:rPr>
        <w:rFonts w:cs="Arial"/>
        <w:lang w:val="en-US"/>
      </w:rPr>
      <w:t>_______________________________________________________________________________</w:t>
    </w: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679CD186" w14:textId="44556EE5" w:rsidR="00156617" w:rsidRPr="004966DC" w:rsidRDefault="00156617" w:rsidP="004966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87FB" w14:textId="77777777" w:rsidR="004966DC" w:rsidRDefault="004966DC" w:rsidP="004966DC">
    <w:pPr>
      <w:pStyle w:val="En-tte"/>
    </w:pPr>
    <w:bookmarkStart w:id="43" w:name="_Hlk148252769"/>
    <w:bookmarkStart w:id="44" w:name="_Hlk148252770"/>
    <w:bookmarkStart w:id="45" w:name="_Hlk148252862"/>
    <w:bookmarkStart w:id="46" w:name="_Hlk148252863"/>
    <w:r>
      <w:rPr>
        <w:noProof/>
      </w:rPr>
      <w:drawing>
        <wp:inline distT="0" distB="0" distL="0" distR="0" wp14:anchorId="5D6DE14C" wp14:editId="5B690397">
          <wp:extent cx="2990023" cy="723900"/>
          <wp:effectExtent l="0" t="0" r="1270" b="0"/>
          <wp:docPr id="1937666888"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66888"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6842" cy="725551"/>
                  </a:xfrm>
                  <a:prstGeom prst="rect">
                    <a:avLst/>
                  </a:prstGeom>
                </pic:spPr>
              </pic:pic>
            </a:graphicData>
          </a:graphic>
        </wp:inline>
      </w:drawing>
    </w:r>
  </w:p>
  <w:p w14:paraId="01F98B9E" w14:textId="77777777" w:rsidR="004966DC" w:rsidRDefault="004966DC" w:rsidP="004966DC">
    <w:pPr>
      <w:pStyle w:val="En-tte"/>
    </w:pPr>
  </w:p>
  <w:bookmarkEnd w:id="43"/>
  <w:bookmarkEnd w:id="44"/>
  <w:bookmarkEnd w:id="45"/>
  <w:bookmarkEnd w:id="46"/>
  <w:p w14:paraId="2D10C97A" w14:textId="77777777" w:rsidR="004966DC" w:rsidRDefault="004966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2D4F"/>
    <w:multiLevelType w:val="hybridMultilevel"/>
    <w:tmpl w:val="E9226CB6"/>
    <w:lvl w:ilvl="0" w:tplc="5AFCCE8A">
      <w:start w:val="1"/>
      <w:numFmt w:val="bullet"/>
      <w:lvlText w:val=""/>
      <w:lvlJc w:val="left"/>
      <w:pPr>
        <w:ind w:left="720" w:hanging="360"/>
      </w:pPr>
      <w:rPr>
        <w:rFonts w:ascii="Symbol" w:hAnsi="Symbol" w:hint="default"/>
      </w:rPr>
    </w:lvl>
    <w:lvl w:ilvl="1" w:tplc="1E38B5A6" w:tentative="1">
      <w:start w:val="1"/>
      <w:numFmt w:val="bullet"/>
      <w:lvlText w:val="o"/>
      <w:lvlJc w:val="left"/>
      <w:pPr>
        <w:ind w:left="1440" w:hanging="360"/>
      </w:pPr>
      <w:rPr>
        <w:rFonts w:ascii="Courier New" w:hAnsi="Courier New" w:cs="Courier New" w:hint="default"/>
      </w:rPr>
    </w:lvl>
    <w:lvl w:ilvl="2" w:tplc="1AC2DCAE" w:tentative="1">
      <w:start w:val="1"/>
      <w:numFmt w:val="bullet"/>
      <w:lvlText w:val=""/>
      <w:lvlJc w:val="left"/>
      <w:pPr>
        <w:ind w:left="2160" w:hanging="360"/>
      </w:pPr>
      <w:rPr>
        <w:rFonts w:ascii="Wingdings" w:hAnsi="Wingdings" w:hint="default"/>
      </w:rPr>
    </w:lvl>
    <w:lvl w:ilvl="3" w:tplc="AB740C72" w:tentative="1">
      <w:start w:val="1"/>
      <w:numFmt w:val="bullet"/>
      <w:lvlText w:val=""/>
      <w:lvlJc w:val="left"/>
      <w:pPr>
        <w:ind w:left="2880" w:hanging="360"/>
      </w:pPr>
      <w:rPr>
        <w:rFonts w:ascii="Symbol" w:hAnsi="Symbol" w:hint="default"/>
      </w:rPr>
    </w:lvl>
    <w:lvl w:ilvl="4" w:tplc="C9AC45D4" w:tentative="1">
      <w:start w:val="1"/>
      <w:numFmt w:val="bullet"/>
      <w:lvlText w:val="o"/>
      <w:lvlJc w:val="left"/>
      <w:pPr>
        <w:ind w:left="3600" w:hanging="360"/>
      </w:pPr>
      <w:rPr>
        <w:rFonts w:ascii="Courier New" w:hAnsi="Courier New" w:cs="Courier New" w:hint="default"/>
      </w:rPr>
    </w:lvl>
    <w:lvl w:ilvl="5" w:tplc="2AE4E43E" w:tentative="1">
      <w:start w:val="1"/>
      <w:numFmt w:val="bullet"/>
      <w:lvlText w:val=""/>
      <w:lvlJc w:val="left"/>
      <w:pPr>
        <w:ind w:left="4320" w:hanging="360"/>
      </w:pPr>
      <w:rPr>
        <w:rFonts w:ascii="Wingdings" w:hAnsi="Wingdings" w:hint="default"/>
      </w:rPr>
    </w:lvl>
    <w:lvl w:ilvl="6" w:tplc="CD4C5230" w:tentative="1">
      <w:start w:val="1"/>
      <w:numFmt w:val="bullet"/>
      <w:lvlText w:val=""/>
      <w:lvlJc w:val="left"/>
      <w:pPr>
        <w:ind w:left="5040" w:hanging="360"/>
      </w:pPr>
      <w:rPr>
        <w:rFonts w:ascii="Symbol" w:hAnsi="Symbol" w:hint="default"/>
      </w:rPr>
    </w:lvl>
    <w:lvl w:ilvl="7" w:tplc="4B5670F0" w:tentative="1">
      <w:start w:val="1"/>
      <w:numFmt w:val="bullet"/>
      <w:lvlText w:val="o"/>
      <w:lvlJc w:val="left"/>
      <w:pPr>
        <w:ind w:left="5760" w:hanging="360"/>
      </w:pPr>
      <w:rPr>
        <w:rFonts w:ascii="Courier New" w:hAnsi="Courier New" w:cs="Courier New" w:hint="default"/>
      </w:rPr>
    </w:lvl>
    <w:lvl w:ilvl="8" w:tplc="FFA85ED8" w:tentative="1">
      <w:start w:val="1"/>
      <w:numFmt w:val="bullet"/>
      <w:lvlText w:val=""/>
      <w:lvlJc w:val="left"/>
      <w:pPr>
        <w:ind w:left="6480" w:hanging="360"/>
      </w:pPr>
      <w:rPr>
        <w:rFonts w:ascii="Wingdings" w:hAnsi="Wingdings" w:hint="default"/>
      </w:rPr>
    </w:lvl>
  </w:abstractNum>
  <w:abstractNum w:abstractNumId="1" w15:restartNumberingAfterBreak="0">
    <w:nsid w:val="08AE3E94"/>
    <w:multiLevelType w:val="hybridMultilevel"/>
    <w:tmpl w:val="8A3A374C"/>
    <w:lvl w:ilvl="0" w:tplc="677805CA">
      <w:start w:val="1"/>
      <w:numFmt w:val="bullet"/>
      <w:lvlText w:val=""/>
      <w:lvlJc w:val="left"/>
      <w:pPr>
        <w:ind w:left="720" w:hanging="360"/>
      </w:pPr>
      <w:rPr>
        <w:rFonts w:ascii="Symbol" w:hAnsi="Symbol" w:hint="default"/>
      </w:rPr>
    </w:lvl>
    <w:lvl w:ilvl="1" w:tplc="736A1AEA" w:tentative="1">
      <w:start w:val="1"/>
      <w:numFmt w:val="bullet"/>
      <w:lvlText w:val="o"/>
      <w:lvlJc w:val="left"/>
      <w:pPr>
        <w:ind w:left="1440" w:hanging="360"/>
      </w:pPr>
      <w:rPr>
        <w:rFonts w:ascii="Courier New" w:hAnsi="Courier New" w:cs="Courier New" w:hint="default"/>
      </w:rPr>
    </w:lvl>
    <w:lvl w:ilvl="2" w:tplc="FDB218D0" w:tentative="1">
      <w:start w:val="1"/>
      <w:numFmt w:val="bullet"/>
      <w:lvlText w:val=""/>
      <w:lvlJc w:val="left"/>
      <w:pPr>
        <w:ind w:left="2160" w:hanging="360"/>
      </w:pPr>
      <w:rPr>
        <w:rFonts w:ascii="Wingdings" w:hAnsi="Wingdings" w:hint="default"/>
      </w:rPr>
    </w:lvl>
    <w:lvl w:ilvl="3" w:tplc="65BEA414" w:tentative="1">
      <w:start w:val="1"/>
      <w:numFmt w:val="bullet"/>
      <w:lvlText w:val=""/>
      <w:lvlJc w:val="left"/>
      <w:pPr>
        <w:ind w:left="2880" w:hanging="360"/>
      </w:pPr>
      <w:rPr>
        <w:rFonts w:ascii="Symbol" w:hAnsi="Symbol" w:hint="default"/>
      </w:rPr>
    </w:lvl>
    <w:lvl w:ilvl="4" w:tplc="437A24B8" w:tentative="1">
      <w:start w:val="1"/>
      <w:numFmt w:val="bullet"/>
      <w:lvlText w:val="o"/>
      <w:lvlJc w:val="left"/>
      <w:pPr>
        <w:ind w:left="3600" w:hanging="360"/>
      </w:pPr>
      <w:rPr>
        <w:rFonts w:ascii="Courier New" w:hAnsi="Courier New" w:cs="Courier New" w:hint="default"/>
      </w:rPr>
    </w:lvl>
    <w:lvl w:ilvl="5" w:tplc="050278F8" w:tentative="1">
      <w:start w:val="1"/>
      <w:numFmt w:val="bullet"/>
      <w:lvlText w:val=""/>
      <w:lvlJc w:val="left"/>
      <w:pPr>
        <w:ind w:left="4320" w:hanging="360"/>
      </w:pPr>
      <w:rPr>
        <w:rFonts w:ascii="Wingdings" w:hAnsi="Wingdings" w:hint="default"/>
      </w:rPr>
    </w:lvl>
    <w:lvl w:ilvl="6" w:tplc="2804803C" w:tentative="1">
      <w:start w:val="1"/>
      <w:numFmt w:val="bullet"/>
      <w:lvlText w:val=""/>
      <w:lvlJc w:val="left"/>
      <w:pPr>
        <w:ind w:left="5040" w:hanging="360"/>
      </w:pPr>
      <w:rPr>
        <w:rFonts w:ascii="Symbol" w:hAnsi="Symbol" w:hint="default"/>
      </w:rPr>
    </w:lvl>
    <w:lvl w:ilvl="7" w:tplc="24B0D59A" w:tentative="1">
      <w:start w:val="1"/>
      <w:numFmt w:val="bullet"/>
      <w:lvlText w:val="o"/>
      <w:lvlJc w:val="left"/>
      <w:pPr>
        <w:ind w:left="5760" w:hanging="360"/>
      </w:pPr>
      <w:rPr>
        <w:rFonts w:ascii="Courier New" w:hAnsi="Courier New" w:cs="Courier New" w:hint="default"/>
      </w:rPr>
    </w:lvl>
    <w:lvl w:ilvl="8" w:tplc="362A5F4C" w:tentative="1">
      <w:start w:val="1"/>
      <w:numFmt w:val="bullet"/>
      <w:lvlText w:val=""/>
      <w:lvlJc w:val="left"/>
      <w:pPr>
        <w:ind w:left="6480" w:hanging="360"/>
      </w:pPr>
      <w:rPr>
        <w:rFonts w:ascii="Wingdings" w:hAnsi="Wingdings" w:hint="default"/>
      </w:rPr>
    </w:lvl>
  </w:abstractNum>
  <w:abstractNum w:abstractNumId="2" w15:restartNumberingAfterBreak="0">
    <w:nsid w:val="1DA44664"/>
    <w:multiLevelType w:val="multilevel"/>
    <w:tmpl w:val="DA604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F143D1"/>
    <w:multiLevelType w:val="hybridMultilevel"/>
    <w:tmpl w:val="E83E20DA"/>
    <w:lvl w:ilvl="0" w:tplc="C46AB9E4">
      <w:start w:val="1"/>
      <w:numFmt w:val="bullet"/>
      <w:pStyle w:val="Paragraphedeliste"/>
      <w:lvlText w:val=""/>
      <w:lvlJc w:val="left"/>
      <w:pPr>
        <w:ind w:left="720" w:hanging="360"/>
      </w:pPr>
      <w:rPr>
        <w:rFonts w:ascii="Symbol" w:hAnsi="Symbol" w:hint="default"/>
      </w:rPr>
    </w:lvl>
    <w:lvl w:ilvl="1" w:tplc="19FEA1EA" w:tentative="1">
      <w:start w:val="1"/>
      <w:numFmt w:val="bullet"/>
      <w:lvlText w:val="o"/>
      <w:lvlJc w:val="left"/>
      <w:pPr>
        <w:ind w:left="1440" w:hanging="360"/>
      </w:pPr>
      <w:rPr>
        <w:rFonts w:ascii="Courier New" w:hAnsi="Courier New" w:cs="Courier New" w:hint="default"/>
      </w:rPr>
    </w:lvl>
    <w:lvl w:ilvl="2" w:tplc="0B2A93BE" w:tentative="1">
      <w:start w:val="1"/>
      <w:numFmt w:val="bullet"/>
      <w:lvlText w:val=""/>
      <w:lvlJc w:val="left"/>
      <w:pPr>
        <w:ind w:left="2160" w:hanging="360"/>
      </w:pPr>
      <w:rPr>
        <w:rFonts w:ascii="Wingdings" w:hAnsi="Wingdings" w:hint="default"/>
      </w:rPr>
    </w:lvl>
    <w:lvl w:ilvl="3" w:tplc="6C624660" w:tentative="1">
      <w:start w:val="1"/>
      <w:numFmt w:val="bullet"/>
      <w:lvlText w:val=""/>
      <w:lvlJc w:val="left"/>
      <w:pPr>
        <w:ind w:left="2880" w:hanging="360"/>
      </w:pPr>
      <w:rPr>
        <w:rFonts w:ascii="Symbol" w:hAnsi="Symbol" w:hint="default"/>
      </w:rPr>
    </w:lvl>
    <w:lvl w:ilvl="4" w:tplc="3C92FCDA" w:tentative="1">
      <w:start w:val="1"/>
      <w:numFmt w:val="bullet"/>
      <w:lvlText w:val="o"/>
      <w:lvlJc w:val="left"/>
      <w:pPr>
        <w:ind w:left="3600" w:hanging="360"/>
      </w:pPr>
      <w:rPr>
        <w:rFonts w:ascii="Courier New" w:hAnsi="Courier New" w:cs="Courier New" w:hint="default"/>
      </w:rPr>
    </w:lvl>
    <w:lvl w:ilvl="5" w:tplc="C0447332" w:tentative="1">
      <w:start w:val="1"/>
      <w:numFmt w:val="bullet"/>
      <w:lvlText w:val=""/>
      <w:lvlJc w:val="left"/>
      <w:pPr>
        <w:ind w:left="4320" w:hanging="360"/>
      </w:pPr>
      <w:rPr>
        <w:rFonts w:ascii="Wingdings" w:hAnsi="Wingdings" w:hint="default"/>
      </w:rPr>
    </w:lvl>
    <w:lvl w:ilvl="6" w:tplc="C41E446E" w:tentative="1">
      <w:start w:val="1"/>
      <w:numFmt w:val="bullet"/>
      <w:lvlText w:val=""/>
      <w:lvlJc w:val="left"/>
      <w:pPr>
        <w:ind w:left="5040" w:hanging="360"/>
      </w:pPr>
      <w:rPr>
        <w:rFonts w:ascii="Symbol" w:hAnsi="Symbol" w:hint="default"/>
      </w:rPr>
    </w:lvl>
    <w:lvl w:ilvl="7" w:tplc="7B24758E" w:tentative="1">
      <w:start w:val="1"/>
      <w:numFmt w:val="bullet"/>
      <w:lvlText w:val="o"/>
      <w:lvlJc w:val="left"/>
      <w:pPr>
        <w:ind w:left="5760" w:hanging="360"/>
      </w:pPr>
      <w:rPr>
        <w:rFonts w:ascii="Courier New" w:hAnsi="Courier New" w:cs="Courier New" w:hint="default"/>
      </w:rPr>
    </w:lvl>
    <w:lvl w:ilvl="8" w:tplc="60A06B08" w:tentative="1">
      <w:start w:val="1"/>
      <w:numFmt w:val="bullet"/>
      <w:lvlText w:val=""/>
      <w:lvlJc w:val="left"/>
      <w:pPr>
        <w:ind w:left="6480" w:hanging="360"/>
      </w:pPr>
      <w:rPr>
        <w:rFonts w:ascii="Wingdings" w:hAnsi="Wingdings" w:hint="default"/>
      </w:rPr>
    </w:lvl>
  </w:abstractNum>
  <w:abstractNum w:abstractNumId="4" w15:restartNumberingAfterBreak="0">
    <w:nsid w:val="33AE5C16"/>
    <w:multiLevelType w:val="multilevel"/>
    <w:tmpl w:val="D4660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AC5526A"/>
    <w:multiLevelType w:val="hybridMultilevel"/>
    <w:tmpl w:val="FD9AAC86"/>
    <w:lvl w:ilvl="0" w:tplc="BA807762">
      <w:start w:val="1"/>
      <w:numFmt w:val="bullet"/>
      <w:lvlText w:val=""/>
      <w:lvlJc w:val="left"/>
      <w:pPr>
        <w:ind w:left="720" w:hanging="360"/>
      </w:pPr>
      <w:rPr>
        <w:rFonts w:ascii="Symbol" w:hAnsi="Symbol" w:hint="default"/>
      </w:rPr>
    </w:lvl>
    <w:lvl w:ilvl="1" w:tplc="77206BAC" w:tentative="1">
      <w:start w:val="1"/>
      <w:numFmt w:val="bullet"/>
      <w:lvlText w:val="o"/>
      <w:lvlJc w:val="left"/>
      <w:pPr>
        <w:ind w:left="1440" w:hanging="360"/>
      </w:pPr>
      <w:rPr>
        <w:rFonts w:ascii="Courier New" w:hAnsi="Courier New" w:cs="Courier New" w:hint="default"/>
      </w:rPr>
    </w:lvl>
    <w:lvl w:ilvl="2" w:tplc="FFC24ECA" w:tentative="1">
      <w:start w:val="1"/>
      <w:numFmt w:val="bullet"/>
      <w:lvlText w:val=""/>
      <w:lvlJc w:val="left"/>
      <w:pPr>
        <w:ind w:left="2160" w:hanging="360"/>
      </w:pPr>
      <w:rPr>
        <w:rFonts w:ascii="Wingdings" w:hAnsi="Wingdings" w:hint="default"/>
      </w:rPr>
    </w:lvl>
    <w:lvl w:ilvl="3" w:tplc="032C24D2" w:tentative="1">
      <w:start w:val="1"/>
      <w:numFmt w:val="bullet"/>
      <w:lvlText w:val=""/>
      <w:lvlJc w:val="left"/>
      <w:pPr>
        <w:ind w:left="2880" w:hanging="360"/>
      </w:pPr>
      <w:rPr>
        <w:rFonts w:ascii="Symbol" w:hAnsi="Symbol" w:hint="default"/>
      </w:rPr>
    </w:lvl>
    <w:lvl w:ilvl="4" w:tplc="16B0DABE" w:tentative="1">
      <w:start w:val="1"/>
      <w:numFmt w:val="bullet"/>
      <w:lvlText w:val="o"/>
      <w:lvlJc w:val="left"/>
      <w:pPr>
        <w:ind w:left="3600" w:hanging="360"/>
      </w:pPr>
      <w:rPr>
        <w:rFonts w:ascii="Courier New" w:hAnsi="Courier New" w:cs="Courier New" w:hint="default"/>
      </w:rPr>
    </w:lvl>
    <w:lvl w:ilvl="5" w:tplc="5A2A5F14" w:tentative="1">
      <w:start w:val="1"/>
      <w:numFmt w:val="bullet"/>
      <w:lvlText w:val=""/>
      <w:lvlJc w:val="left"/>
      <w:pPr>
        <w:ind w:left="4320" w:hanging="360"/>
      </w:pPr>
      <w:rPr>
        <w:rFonts w:ascii="Wingdings" w:hAnsi="Wingdings" w:hint="default"/>
      </w:rPr>
    </w:lvl>
    <w:lvl w:ilvl="6" w:tplc="E626E250" w:tentative="1">
      <w:start w:val="1"/>
      <w:numFmt w:val="bullet"/>
      <w:lvlText w:val=""/>
      <w:lvlJc w:val="left"/>
      <w:pPr>
        <w:ind w:left="5040" w:hanging="360"/>
      </w:pPr>
      <w:rPr>
        <w:rFonts w:ascii="Symbol" w:hAnsi="Symbol" w:hint="default"/>
      </w:rPr>
    </w:lvl>
    <w:lvl w:ilvl="7" w:tplc="975070AC" w:tentative="1">
      <w:start w:val="1"/>
      <w:numFmt w:val="bullet"/>
      <w:lvlText w:val="o"/>
      <w:lvlJc w:val="left"/>
      <w:pPr>
        <w:ind w:left="5760" w:hanging="360"/>
      </w:pPr>
      <w:rPr>
        <w:rFonts w:ascii="Courier New" w:hAnsi="Courier New" w:cs="Courier New" w:hint="default"/>
      </w:rPr>
    </w:lvl>
    <w:lvl w:ilvl="8" w:tplc="E43ECA72" w:tentative="1">
      <w:start w:val="1"/>
      <w:numFmt w:val="bullet"/>
      <w:lvlText w:val=""/>
      <w:lvlJc w:val="left"/>
      <w:pPr>
        <w:ind w:left="6480" w:hanging="360"/>
      </w:pPr>
      <w:rPr>
        <w:rFonts w:ascii="Wingdings" w:hAnsi="Wingdings" w:hint="default"/>
      </w:rPr>
    </w:lvl>
  </w:abstractNum>
  <w:abstractNum w:abstractNumId="6" w15:restartNumberingAfterBreak="0">
    <w:nsid w:val="3BE3434D"/>
    <w:multiLevelType w:val="hybridMultilevel"/>
    <w:tmpl w:val="5CE07DE2"/>
    <w:lvl w:ilvl="0" w:tplc="0186BE22">
      <w:start w:val="1"/>
      <w:numFmt w:val="bullet"/>
      <w:lvlText w:val=""/>
      <w:lvlJc w:val="left"/>
      <w:pPr>
        <w:ind w:left="720" w:hanging="360"/>
      </w:pPr>
      <w:rPr>
        <w:rFonts w:ascii="Symbol" w:hAnsi="Symbol" w:hint="default"/>
      </w:rPr>
    </w:lvl>
    <w:lvl w:ilvl="1" w:tplc="98F0CEBC" w:tentative="1">
      <w:start w:val="1"/>
      <w:numFmt w:val="bullet"/>
      <w:lvlText w:val="o"/>
      <w:lvlJc w:val="left"/>
      <w:pPr>
        <w:ind w:left="1440" w:hanging="360"/>
      </w:pPr>
      <w:rPr>
        <w:rFonts w:ascii="Courier New" w:hAnsi="Courier New" w:cs="Courier New" w:hint="default"/>
      </w:rPr>
    </w:lvl>
    <w:lvl w:ilvl="2" w:tplc="BBA0646C" w:tentative="1">
      <w:start w:val="1"/>
      <w:numFmt w:val="bullet"/>
      <w:lvlText w:val=""/>
      <w:lvlJc w:val="left"/>
      <w:pPr>
        <w:ind w:left="2160" w:hanging="360"/>
      </w:pPr>
      <w:rPr>
        <w:rFonts w:ascii="Wingdings" w:hAnsi="Wingdings" w:hint="default"/>
      </w:rPr>
    </w:lvl>
    <w:lvl w:ilvl="3" w:tplc="10A260C8" w:tentative="1">
      <w:start w:val="1"/>
      <w:numFmt w:val="bullet"/>
      <w:lvlText w:val=""/>
      <w:lvlJc w:val="left"/>
      <w:pPr>
        <w:ind w:left="2880" w:hanging="360"/>
      </w:pPr>
      <w:rPr>
        <w:rFonts w:ascii="Symbol" w:hAnsi="Symbol" w:hint="default"/>
      </w:rPr>
    </w:lvl>
    <w:lvl w:ilvl="4" w:tplc="70307EB8" w:tentative="1">
      <w:start w:val="1"/>
      <w:numFmt w:val="bullet"/>
      <w:lvlText w:val="o"/>
      <w:lvlJc w:val="left"/>
      <w:pPr>
        <w:ind w:left="3600" w:hanging="360"/>
      </w:pPr>
      <w:rPr>
        <w:rFonts w:ascii="Courier New" w:hAnsi="Courier New" w:cs="Courier New" w:hint="default"/>
      </w:rPr>
    </w:lvl>
    <w:lvl w:ilvl="5" w:tplc="B78A9732" w:tentative="1">
      <w:start w:val="1"/>
      <w:numFmt w:val="bullet"/>
      <w:lvlText w:val=""/>
      <w:lvlJc w:val="left"/>
      <w:pPr>
        <w:ind w:left="4320" w:hanging="360"/>
      </w:pPr>
      <w:rPr>
        <w:rFonts w:ascii="Wingdings" w:hAnsi="Wingdings" w:hint="default"/>
      </w:rPr>
    </w:lvl>
    <w:lvl w:ilvl="6" w:tplc="D8B2D9D6" w:tentative="1">
      <w:start w:val="1"/>
      <w:numFmt w:val="bullet"/>
      <w:lvlText w:val=""/>
      <w:lvlJc w:val="left"/>
      <w:pPr>
        <w:ind w:left="5040" w:hanging="360"/>
      </w:pPr>
      <w:rPr>
        <w:rFonts w:ascii="Symbol" w:hAnsi="Symbol" w:hint="default"/>
      </w:rPr>
    </w:lvl>
    <w:lvl w:ilvl="7" w:tplc="A30A3BCA" w:tentative="1">
      <w:start w:val="1"/>
      <w:numFmt w:val="bullet"/>
      <w:lvlText w:val="o"/>
      <w:lvlJc w:val="left"/>
      <w:pPr>
        <w:ind w:left="5760" w:hanging="360"/>
      </w:pPr>
      <w:rPr>
        <w:rFonts w:ascii="Courier New" w:hAnsi="Courier New" w:cs="Courier New" w:hint="default"/>
      </w:rPr>
    </w:lvl>
    <w:lvl w:ilvl="8" w:tplc="1D5CCB66" w:tentative="1">
      <w:start w:val="1"/>
      <w:numFmt w:val="bullet"/>
      <w:lvlText w:val=""/>
      <w:lvlJc w:val="left"/>
      <w:pPr>
        <w:ind w:left="6480" w:hanging="360"/>
      </w:pPr>
      <w:rPr>
        <w:rFonts w:ascii="Wingdings" w:hAnsi="Wingdings" w:hint="default"/>
      </w:rPr>
    </w:lvl>
  </w:abstractNum>
  <w:abstractNum w:abstractNumId="7" w15:restartNumberingAfterBreak="0">
    <w:nsid w:val="451B6CFE"/>
    <w:multiLevelType w:val="multilevel"/>
    <w:tmpl w:val="19542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D469C4"/>
    <w:multiLevelType w:val="multilevel"/>
    <w:tmpl w:val="8DAC99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F71BB4"/>
    <w:multiLevelType w:val="multilevel"/>
    <w:tmpl w:val="86B67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90142B1"/>
    <w:multiLevelType w:val="multilevel"/>
    <w:tmpl w:val="76F63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347582"/>
    <w:multiLevelType w:val="multilevel"/>
    <w:tmpl w:val="A914D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BA44AD8"/>
    <w:multiLevelType w:val="multilevel"/>
    <w:tmpl w:val="3B7EA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8720502"/>
    <w:multiLevelType w:val="multilevel"/>
    <w:tmpl w:val="F55A1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20129788">
    <w:abstractNumId w:val="4"/>
  </w:num>
  <w:num w:numId="2" w16cid:durableId="159128746">
    <w:abstractNumId w:val="10"/>
  </w:num>
  <w:num w:numId="3" w16cid:durableId="1801917254">
    <w:abstractNumId w:val="8"/>
  </w:num>
  <w:num w:numId="4" w16cid:durableId="701785574">
    <w:abstractNumId w:val="9"/>
  </w:num>
  <w:num w:numId="5" w16cid:durableId="1694377342">
    <w:abstractNumId w:val="7"/>
  </w:num>
  <w:num w:numId="6" w16cid:durableId="218706544">
    <w:abstractNumId w:val="12"/>
  </w:num>
  <w:num w:numId="7" w16cid:durableId="507184692">
    <w:abstractNumId w:val="13"/>
  </w:num>
  <w:num w:numId="8" w16cid:durableId="916093007">
    <w:abstractNumId w:val="11"/>
  </w:num>
  <w:num w:numId="9" w16cid:durableId="908611753">
    <w:abstractNumId w:val="2"/>
  </w:num>
  <w:num w:numId="10" w16cid:durableId="855579807">
    <w:abstractNumId w:val="1"/>
  </w:num>
  <w:num w:numId="11" w16cid:durableId="733704028">
    <w:abstractNumId w:val="5"/>
  </w:num>
  <w:num w:numId="12" w16cid:durableId="1619676025">
    <w:abstractNumId w:val="6"/>
  </w:num>
  <w:num w:numId="13" w16cid:durableId="774060244">
    <w:abstractNumId w:val="0"/>
  </w:num>
  <w:num w:numId="14" w16cid:durableId="1708021427">
    <w:abstractNumId w:val="11"/>
  </w:num>
  <w:num w:numId="15" w16cid:durableId="1278415216">
    <w:abstractNumId w:val="11"/>
  </w:num>
  <w:num w:numId="16" w16cid:durableId="895506798">
    <w:abstractNumId w:val="3"/>
  </w:num>
  <w:num w:numId="17" w16cid:durableId="749162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66"/>
    <w:rsid w:val="00106183"/>
    <w:rsid w:val="00156617"/>
    <w:rsid w:val="0019284A"/>
    <w:rsid w:val="00232E2C"/>
    <w:rsid w:val="00236854"/>
    <w:rsid w:val="002919CF"/>
    <w:rsid w:val="002A32CA"/>
    <w:rsid w:val="003357DC"/>
    <w:rsid w:val="004138B1"/>
    <w:rsid w:val="004351DE"/>
    <w:rsid w:val="0048258F"/>
    <w:rsid w:val="004966DC"/>
    <w:rsid w:val="004B40EA"/>
    <w:rsid w:val="004E39E0"/>
    <w:rsid w:val="00530599"/>
    <w:rsid w:val="00546C0C"/>
    <w:rsid w:val="00572617"/>
    <w:rsid w:val="00587643"/>
    <w:rsid w:val="005C5F05"/>
    <w:rsid w:val="005D1FF4"/>
    <w:rsid w:val="00641848"/>
    <w:rsid w:val="00671FCE"/>
    <w:rsid w:val="006E0667"/>
    <w:rsid w:val="0073003B"/>
    <w:rsid w:val="0078444C"/>
    <w:rsid w:val="00790D70"/>
    <w:rsid w:val="007A0093"/>
    <w:rsid w:val="00821666"/>
    <w:rsid w:val="00821EE0"/>
    <w:rsid w:val="008432C3"/>
    <w:rsid w:val="00895D76"/>
    <w:rsid w:val="008C1AE2"/>
    <w:rsid w:val="009C4E69"/>
    <w:rsid w:val="009E4AA0"/>
    <w:rsid w:val="00A22ACD"/>
    <w:rsid w:val="00A23B34"/>
    <w:rsid w:val="00A25054"/>
    <w:rsid w:val="00A43D02"/>
    <w:rsid w:val="00A710AE"/>
    <w:rsid w:val="00AB5CA3"/>
    <w:rsid w:val="00AD1FCB"/>
    <w:rsid w:val="00B50EA4"/>
    <w:rsid w:val="00B526E1"/>
    <w:rsid w:val="00B618FC"/>
    <w:rsid w:val="00B957DC"/>
    <w:rsid w:val="00BD4835"/>
    <w:rsid w:val="00C774AB"/>
    <w:rsid w:val="00CA57B9"/>
    <w:rsid w:val="00CE5E66"/>
    <w:rsid w:val="00D14721"/>
    <w:rsid w:val="00D2713B"/>
    <w:rsid w:val="00D37CB2"/>
    <w:rsid w:val="00D40129"/>
    <w:rsid w:val="00D5695F"/>
    <w:rsid w:val="00D836D7"/>
    <w:rsid w:val="00D9395E"/>
    <w:rsid w:val="00DA6F98"/>
    <w:rsid w:val="00DB1288"/>
    <w:rsid w:val="00DE7153"/>
    <w:rsid w:val="00E008D2"/>
    <w:rsid w:val="00E056F5"/>
    <w:rsid w:val="00E15178"/>
    <w:rsid w:val="00E21C58"/>
    <w:rsid w:val="00E3372F"/>
    <w:rsid w:val="00E341D1"/>
    <w:rsid w:val="00E60E4B"/>
    <w:rsid w:val="00E73C4B"/>
    <w:rsid w:val="00EB71B4"/>
    <w:rsid w:val="00F056AE"/>
    <w:rsid w:val="00F41C4B"/>
    <w:rsid w:val="00F56240"/>
    <w:rsid w:val="00F7707F"/>
    <w:rsid w:val="00FA0019"/>
    <w:rsid w:val="00FA04CC"/>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277A6"/>
  <w15:docId w15:val="{33A3F7AA-BB47-4ED8-A5C4-C443C184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Calibr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0B6"/>
  </w:style>
  <w:style w:type="paragraph" w:styleId="Titre1">
    <w:name w:val="heading 1"/>
    <w:basedOn w:val="Normal"/>
    <w:next w:val="Normal"/>
    <w:link w:val="Titre1Car"/>
    <w:uiPriority w:val="9"/>
    <w:qFormat/>
    <w:rsid w:val="009A7600"/>
    <w:pPr>
      <w:keepNext/>
      <w:keepLines/>
      <w:spacing w:before="240"/>
      <w:outlineLvl w:val="0"/>
    </w:pPr>
    <w:rPr>
      <w:rFonts w:ascii="Calibri Light" w:eastAsia="Malgun Gothic" w:hAnsi="Calibri Light" w:cs="Times New Roman"/>
      <w:color w:val="2E74B5"/>
      <w:sz w:val="32"/>
      <w:szCs w:val="32"/>
    </w:rPr>
  </w:style>
  <w:style w:type="paragraph" w:styleId="Titre2">
    <w:name w:val="heading 2"/>
    <w:basedOn w:val="Normal"/>
    <w:next w:val="Normal"/>
    <w:link w:val="Titre2Car"/>
    <w:autoRedefine/>
    <w:uiPriority w:val="9"/>
    <w:unhideWhenUsed/>
    <w:qFormat/>
    <w:rsid w:val="00356E56"/>
    <w:pPr>
      <w:keepNext/>
      <w:keepLines/>
      <w:spacing w:before="200" w:after="240"/>
      <w:outlineLvl w:val="1"/>
    </w:pPr>
    <w:rPr>
      <w:rFonts w:eastAsia="Arial" w:cs="Times New Roman"/>
      <w:b/>
      <w:color w:val="00AABE"/>
      <w:sz w:val="28"/>
      <w:szCs w:val="26"/>
    </w:rPr>
  </w:style>
  <w:style w:type="paragraph" w:styleId="Titre3">
    <w:name w:val="heading 3"/>
    <w:next w:val="Normal"/>
    <w:link w:val="Titre3Car"/>
    <w:autoRedefine/>
    <w:uiPriority w:val="9"/>
    <w:qFormat/>
    <w:rsid w:val="00437E2E"/>
    <w:pPr>
      <w:spacing w:before="120" w:after="200"/>
      <w:outlineLvl w:val="2"/>
    </w:pPr>
    <w:rPr>
      <w:b/>
      <w:color w:val="005F9A"/>
      <w:sz w:val="24"/>
      <w:szCs w:val="24"/>
    </w:rPr>
  </w:style>
  <w:style w:type="paragraph" w:styleId="Titre4">
    <w:name w:val="heading 4"/>
    <w:basedOn w:val="Normal"/>
    <w:next w:val="Normal"/>
    <w:link w:val="Titre4Car"/>
    <w:autoRedefine/>
    <w:uiPriority w:val="9"/>
    <w:unhideWhenUsed/>
    <w:qFormat/>
    <w:rsid w:val="00437E2E"/>
    <w:pPr>
      <w:keepNext/>
      <w:keepLines/>
      <w:spacing w:before="200" w:after="120"/>
      <w:contextualSpacing/>
      <w:outlineLvl w:val="3"/>
    </w:pPr>
    <w:rPr>
      <w:rFonts w:eastAsia="Malgun Gothic" w:cs="Times New Roman"/>
      <w:b/>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uiPriority w:val="9"/>
    <w:rsid w:val="00437E2E"/>
    <w:rPr>
      <w:rFonts w:eastAsia="Malgun Gothic" w:cs="Times New Roman"/>
      <w:b/>
      <w:iCs/>
      <w:szCs w:val="20"/>
      <w:lang w:val="fr-FR" w:eastAsia="fr-FR"/>
    </w:rPr>
  </w:style>
  <w:style w:type="character" w:customStyle="1" w:styleId="Titre3Car">
    <w:name w:val="Titre 3 Car"/>
    <w:link w:val="Titre3"/>
    <w:uiPriority w:val="9"/>
    <w:rsid w:val="00437E2E"/>
    <w:rPr>
      <w:b/>
      <w:color w:val="005F9A"/>
      <w:sz w:val="24"/>
      <w:lang w:val="fr-FR" w:eastAsia="fr-FR"/>
    </w:rPr>
  </w:style>
  <w:style w:type="character" w:styleId="Appelnotedebasdep">
    <w:name w:val="footnote reference"/>
    <w:uiPriority w:val="99"/>
    <w:unhideWhenUsed/>
    <w:rsid w:val="00821666"/>
    <w:rPr>
      <w:vertAlign w:val="superscript"/>
      <w:lang w:val="fr-FR" w:eastAsia="fr-FR"/>
    </w:rPr>
  </w:style>
  <w:style w:type="table" w:styleId="Grilledutableau">
    <w:name w:val="Table Grid"/>
    <w:basedOn w:val="TableauNormal"/>
    <w:uiPriority w:val="39"/>
    <w:rsid w:val="00821666"/>
    <w:rPr>
      <w:sz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0425E0"/>
    <w:rPr>
      <w:sz w:val="16"/>
    </w:rPr>
  </w:style>
  <w:style w:type="character" w:customStyle="1" w:styleId="NotedebasdepageCar">
    <w:name w:val="Note de bas de page Car"/>
    <w:link w:val="Notedebasdepage"/>
    <w:uiPriority w:val="99"/>
    <w:rsid w:val="000425E0"/>
    <w:rPr>
      <w:rFonts w:eastAsia="Calibri"/>
      <w:sz w:val="16"/>
      <w:szCs w:val="20"/>
      <w:lang w:val="fr-FR" w:eastAsia="fr-FR"/>
    </w:rPr>
  </w:style>
  <w:style w:type="paragraph" w:customStyle="1" w:styleId="section-title">
    <w:name w:val="section-title"/>
    <w:basedOn w:val="Normal"/>
    <w:link w:val="section-titleChar"/>
    <w:autoRedefine/>
    <w:qFormat/>
    <w:rsid w:val="00546C0C"/>
    <w:pPr>
      <w:keepNext/>
      <w:spacing w:before="200" w:after="200"/>
      <w:contextualSpacing/>
    </w:pPr>
    <w:rPr>
      <w:rFonts w:eastAsia="Arial" w:cs="Arial"/>
      <w:b/>
      <w:sz w:val="22"/>
      <w:szCs w:val="22"/>
      <w:lang w:val="fr-CH" w:eastAsia="fr-CH"/>
    </w:rPr>
  </w:style>
  <w:style w:type="character" w:customStyle="1" w:styleId="section-titleChar">
    <w:name w:val="section-title Char"/>
    <w:link w:val="section-title"/>
    <w:rsid w:val="00546C0C"/>
    <w:rPr>
      <w:rFonts w:eastAsia="Arial" w:cs="Arial"/>
      <w:b/>
      <w:sz w:val="22"/>
      <w:szCs w:val="22"/>
      <w:lang w:val="fr-CH" w:eastAsia="fr-CH"/>
    </w:rPr>
  </w:style>
  <w:style w:type="character" w:customStyle="1" w:styleId="Titre2Car">
    <w:name w:val="Titre 2 Car"/>
    <w:link w:val="Titre2"/>
    <w:uiPriority w:val="9"/>
    <w:rsid w:val="00356E56"/>
    <w:rPr>
      <w:rFonts w:eastAsia="Arial" w:cs="Times New Roman"/>
      <w:b/>
      <w:color w:val="00AABE"/>
      <w:sz w:val="28"/>
      <w:szCs w:val="26"/>
      <w:lang w:val="fr-FR" w:eastAsia="fr-FR"/>
    </w:rPr>
  </w:style>
  <w:style w:type="paragraph" w:styleId="Paragraphedeliste">
    <w:name w:val="List Paragraph"/>
    <w:basedOn w:val="Normal"/>
    <w:autoRedefine/>
    <w:uiPriority w:val="34"/>
    <w:qFormat/>
    <w:rsid w:val="003B79EE"/>
    <w:pPr>
      <w:numPr>
        <w:numId w:val="16"/>
      </w:numPr>
      <w:contextualSpacing/>
    </w:pPr>
  </w:style>
  <w:style w:type="paragraph" w:styleId="Rvision">
    <w:name w:val="Revision"/>
    <w:hidden/>
    <w:uiPriority w:val="99"/>
    <w:semiHidden/>
    <w:rsid w:val="00A80800"/>
    <w:rPr>
      <w:szCs w:val="24"/>
    </w:rPr>
  </w:style>
  <w:style w:type="character" w:styleId="Marquedecommentaire">
    <w:name w:val="annotation reference"/>
    <w:uiPriority w:val="99"/>
    <w:semiHidden/>
    <w:unhideWhenUsed/>
    <w:rsid w:val="00545CD2"/>
    <w:rPr>
      <w:sz w:val="16"/>
      <w:szCs w:val="16"/>
      <w:lang w:val="fr-FR" w:eastAsia="fr-FR"/>
    </w:rPr>
  </w:style>
  <w:style w:type="paragraph" w:styleId="Commentaire">
    <w:name w:val="annotation text"/>
    <w:basedOn w:val="Normal"/>
    <w:link w:val="CommentaireCar"/>
    <w:uiPriority w:val="99"/>
    <w:unhideWhenUsed/>
    <w:rsid w:val="00545CD2"/>
  </w:style>
  <w:style w:type="character" w:customStyle="1" w:styleId="CommentaireCar">
    <w:name w:val="Commentaire Car"/>
    <w:link w:val="Commentaire"/>
    <w:uiPriority w:val="99"/>
    <w:rsid w:val="00545CD2"/>
    <w:rPr>
      <w:szCs w:val="20"/>
      <w:lang w:val="fr-FR" w:eastAsia="fr-FR"/>
    </w:rPr>
  </w:style>
  <w:style w:type="paragraph" w:styleId="Objetducommentaire">
    <w:name w:val="annotation subject"/>
    <w:basedOn w:val="Commentaire"/>
    <w:next w:val="Commentaire"/>
    <w:link w:val="ObjetducommentaireCar"/>
    <w:uiPriority w:val="99"/>
    <w:semiHidden/>
    <w:unhideWhenUsed/>
    <w:rsid w:val="00545CD2"/>
    <w:rPr>
      <w:b/>
      <w:bCs/>
    </w:rPr>
  </w:style>
  <w:style w:type="character" w:customStyle="1" w:styleId="ObjetducommentaireCar">
    <w:name w:val="Objet du commentaire Car"/>
    <w:link w:val="Objetducommentaire"/>
    <w:uiPriority w:val="99"/>
    <w:semiHidden/>
    <w:rsid w:val="00545CD2"/>
    <w:rPr>
      <w:b/>
      <w:bCs/>
      <w:szCs w:val="20"/>
      <w:lang w:val="fr-FR" w:eastAsia="fr-FR"/>
    </w:rPr>
  </w:style>
  <w:style w:type="character" w:styleId="Lienhypertexte">
    <w:name w:val="Hyperlink"/>
    <w:uiPriority w:val="99"/>
    <w:unhideWhenUsed/>
    <w:rsid w:val="00AD0EA6"/>
    <w:rPr>
      <w:color w:val="0563C1"/>
      <w:u w:val="single"/>
      <w:lang w:val="fr-FR" w:eastAsia="fr-FR"/>
    </w:rPr>
  </w:style>
  <w:style w:type="character" w:styleId="Mentionnonrsolue">
    <w:name w:val="Unresolved Mention"/>
    <w:uiPriority w:val="99"/>
    <w:semiHidden/>
    <w:unhideWhenUsed/>
    <w:rsid w:val="00AD0EA6"/>
    <w:rPr>
      <w:color w:val="605E5C"/>
      <w:lang w:val="fr-FR" w:eastAsia="fr-FR"/>
    </w:rPr>
  </w:style>
  <w:style w:type="character" w:customStyle="1" w:styleId="Titre1Car">
    <w:name w:val="Titre 1 Car"/>
    <w:link w:val="Titre1"/>
    <w:uiPriority w:val="9"/>
    <w:rsid w:val="009A7600"/>
    <w:rPr>
      <w:rFonts w:ascii="Calibri Light" w:eastAsia="Malgun Gothic" w:hAnsi="Calibri Light" w:cs="Times New Roman"/>
      <w:color w:val="2E74B5"/>
      <w:sz w:val="32"/>
      <w:szCs w:val="32"/>
      <w:lang w:val="fr-FR" w:eastAsia="fr-FR"/>
    </w:rPr>
  </w:style>
  <w:style w:type="character" w:customStyle="1" w:styleId="A6">
    <w:name w:val="A6"/>
    <w:uiPriority w:val="99"/>
    <w:rsid w:val="00FF781E"/>
    <w:rPr>
      <w:rFonts w:cs="Univers LT Std 45 Light"/>
      <w:color w:val="000000"/>
      <w:sz w:val="10"/>
      <w:szCs w:val="10"/>
      <w:lang w:val="fr-FR" w:eastAsia="fr-FR"/>
    </w:rPr>
  </w:style>
  <w:style w:type="character" w:styleId="Lienhypertextesuivivisit">
    <w:name w:val="FollowedHyperlink"/>
    <w:uiPriority w:val="99"/>
    <w:semiHidden/>
    <w:unhideWhenUsed/>
    <w:rsid w:val="00B618FC"/>
    <w:rPr>
      <w:color w:val="954F72"/>
      <w:u w:val="single"/>
    </w:rPr>
  </w:style>
  <w:style w:type="paragraph" w:styleId="En-tte">
    <w:name w:val="header"/>
    <w:basedOn w:val="Normal"/>
    <w:link w:val="En-tteCar"/>
    <w:uiPriority w:val="99"/>
    <w:unhideWhenUsed/>
    <w:rsid w:val="004966DC"/>
    <w:pPr>
      <w:tabs>
        <w:tab w:val="center" w:pos="4536"/>
        <w:tab w:val="right" w:pos="9072"/>
      </w:tabs>
    </w:pPr>
  </w:style>
  <w:style w:type="character" w:customStyle="1" w:styleId="En-tteCar">
    <w:name w:val="En-tête Car"/>
    <w:basedOn w:val="Policepardfaut"/>
    <w:link w:val="En-tte"/>
    <w:uiPriority w:val="99"/>
    <w:rsid w:val="004966DC"/>
  </w:style>
  <w:style w:type="paragraph" w:styleId="Pieddepage">
    <w:name w:val="footer"/>
    <w:basedOn w:val="Normal"/>
    <w:link w:val="PieddepageCar"/>
    <w:uiPriority w:val="99"/>
    <w:unhideWhenUsed/>
    <w:rsid w:val="004966DC"/>
    <w:pPr>
      <w:tabs>
        <w:tab w:val="center" w:pos="4536"/>
        <w:tab w:val="right" w:pos="9072"/>
      </w:tabs>
    </w:pPr>
  </w:style>
  <w:style w:type="character" w:customStyle="1" w:styleId="PieddepageCar">
    <w:name w:val="Pied de page Car"/>
    <w:basedOn w:val="Policepardfaut"/>
    <w:link w:val="Pieddepage"/>
    <w:uiPriority w:val="99"/>
    <w:rsid w:val="004966DC"/>
  </w:style>
  <w:style w:type="paragraph" w:styleId="NormalWeb">
    <w:name w:val="Normal (Web)"/>
    <w:basedOn w:val="Normal"/>
    <w:uiPriority w:val="99"/>
    <w:unhideWhenUsed/>
    <w:rsid w:val="004966DC"/>
    <w:pPr>
      <w:spacing w:before="100" w:beforeAutospacing="1" w:after="100" w:afterAutospacing="1"/>
    </w:pPr>
    <w:rPr>
      <w:rFonts w:ascii="Times New Roman" w:hAnsi="Times New Roman" w:cs="Times New Roman"/>
      <w:sz w:val="24"/>
      <w:szCs w:val="24"/>
    </w:rPr>
  </w:style>
  <w:style w:type="paragraph" w:customStyle="1" w:styleId="Indicator">
    <w:name w:val="Indicator"/>
    <w:basedOn w:val="Titre3"/>
    <w:link w:val="IndicatorChar"/>
    <w:qFormat/>
    <w:rsid w:val="00546C0C"/>
    <w:pPr>
      <w:keepNext/>
      <w:keepLines/>
      <w:spacing w:before="240" w:after="120" w:line="288" w:lineRule="auto"/>
      <w:jc w:val="both"/>
    </w:pPr>
    <w:rPr>
      <w:rFonts w:eastAsia="Arial" w:cs="Arial"/>
      <w:color w:val="auto"/>
      <w:sz w:val="28"/>
      <w:szCs w:val="20"/>
      <w:lang w:eastAsia="fr-CH"/>
    </w:rPr>
  </w:style>
  <w:style w:type="character" w:customStyle="1" w:styleId="IndicatorChar">
    <w:name w:val="Indicator Char"/>
    <w:basedOn w:val="Policepardfaut"/>
    <w:link w:val="Indicator"/>
    <w:rsid w:val="00546C0C"/>
    <w:rPr>
      <w:rFonts w:eastAsia="Arial" w:cs="Arial"/>
      <w:b/>
      <w:sz w:val="28"/>
      <w:lang w:eastAsia="fr-CH"/>
    </w:rPr>
  </w:style>
  <w:style w:type="paragraph" w:customStyle="1" w:styleId="Dimension">
    <w:name w:val="Dimension"/>
    <w:basedOn w:val="Titre4"/>
    <w:link w:val="DimensionChar"/>
    <w:qFormat/>
    <w:rsid w:val="00546C0C"/>
    <w:pPr>
      <w:pageBreakBefore/>
      <w:spacing w:before="240" w:line="288" w:lineRule="auto"/>
      <w:contextualSpacing w:val="0"/>
      <w:jc w:val="both"/>
    </w:pPr>
    <w:rPr>
      <w:rFonts w:eastAsia="Arial" w:cs="Arial"/>
      <w:iCs w:val="0"/>
      <w:sz w:val="24"/>
      <w:lang w:eastAsia="fr-CH"/>
    </w:rPr>
  </w:style>
  <w:style w:type="character" w:customStyle="1" w:styleId="DimensionChar">
    <w:name w:val="Dimension Char"/>
    <w:basedOn w:val="Policepardfaut"/>
    <w:link w:val="Dimension"/>
    <w:rsid w:val="00546C0C"/>
    <w:rPr>
      <w:rFonts w:eastAsia="Arial" w:cs="Arial"/>
      <w:b/>
      <w:sz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03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rchive.ipu.org/pdf/publications/gsp11-f.pdf" TargetMode="External"/><Relationship Id="rId18" Type="http://schemas.openxmlformats.org/officeDocument/2006/relationships/hyperlink" Target="https://www.oecd.org/gender/governance/toolki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pu.org/fr/ressources/publications/reference/2019-11/lignes-directrices-pour-lelimination-du-sexisme-du-harcelement-et-de-la-violence-legard-des-femmes-dans-les" TargetMode="External"/><Relationship Id="rId7" Type="http://schemas.openxmlformats.org/officeDocument/2006/relationships/webSettings" Target="webSettings.xml"/><Relationship Id="rId12" Type="http://schemas.openxmlformats.org/officeDocument/2006/relationships/hyperlink" Target="https://www.europarl.europa.eu/cmsdata/193404/20120928ATT52592FR-original.pdf" TargetMode="External"/><Relationship Id="rId17" Type="http://schemas.openxmlformats.org/officeDocument/2006/relationships/hyperlink" Target="https://www.cpahq.org/media/l0jjk2nh/recommended-benchmarks-for-democratic-legislatures-updated-2018-final-online-version-single.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pu.org/fr/ressources/publications/reference/2019-11/lignes-directrices-pour-lelimination-du-sexisme-du-harcelement-et-de-la-violence-legard-des-femmes-dans-les" TargetMode="External"/><Relationship Id="rId20" Type="http://schemas.openxmlformats.org/officeDocument/2006/relationships/hyperlink" Target="https://www.ipu.org/resources/publications/reference/2019-11/guidelines-elimination-sexism-harassment-and-violence-against-women-in-parlia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ahq.org/media/l0jjk2nh/recommended-benchmarks-for-democratic-legislatures-updated-2018-final-online-version-single.pdf"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pu.org/resources/publications/reference/2019-11/guidelines-elimination-sexism-harassment-and-violence-against-women-in-parliament" TargetMode="External"/><Relationship Id="rId23" Type="http://schemas.openxmlformats.org/officeDocument/2006/relationships/hyperlink" Target="https://www.cpahq.org/media/l0jjk2nh/recommended-benchmarks-for-democratic-legislatures-updated-2018-final-online-version-single.pdf" TargetMode="External"/><Relationship Id="rId28" Type="http://schemas.openxmlformats.org/officeDocument/2006/relationships/fontTable" Target="fontTable.xml"/><Relationship Id="rId10" Type="http://schemas.openxmlformats.org/officeDocument/2006/relationships/hyperlink" Target="https://www.asgp.co/fr/node/30766" TargetMode="External"/><Relationship Id="rId19" Type="http://schemas.openxmlformats.org/officeDocument/2006/relationships/hyperlink" Target="https://www.parliament.uk/contentassets/3df71b70e8e847f498932d63dede801a/icgs-bullying-user-guide_complainants_interactive-pdfs_updat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pu.org/fr/ressources/publications/outils/2016-11/parlements-evaluer-la-sensibilite-au-genre-outil-dauto-evaluation" TargetMode="External"/><Relationship Id="rId22" Type="http://schemas.openxmlformats.org/officeDocument/2006/relationships/hyperlink" Target="https://www.ipu.org/fr/ressources/publications/reference/2019-11/lignes-directrices-pour-lelimination-du-sexisme-du-harcelement-et-de-la-violence-legard-des-femmes-dans-les"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30107-2761-4FE7-8B98-61083DCDEF7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6C2A087-B167-4FB2-A3FA-EEF1998D0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FA77F7D-A636-4FF4-BD69-37D3DF519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4814</Words>
  <Characters>26479</Characters>
  <Application>Microsoft Office Word</Application>
  <DocSecurity>0</DocSecurity>
  <Lines>220</Lines>
  <Paragraphs>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31231</CharactersWithSpaces>
  <SharedDoc>false</SharedDoc>
  <HLinks>
    <vt:vector size="84" baseType="variant">
      <vt:variant>
        <vt:i4>6225932</vt:i4>
      </vt:variant>
      <vt:variant>
        <vt:i4>39</vt:i4>
      </vt:variant>
      <vt:variant>
        <vt:i4>0</vt:i4>
      </vt:variant>
      <vt:variant>
        <vt:i4>5</vt:i4>
      </vt:variant>
      <vt:variant>
        <vt:lpwstr>https://www.wfd.org/wp-content/uploads/2018/10/Recommended-Benchmarks-for-Democratic-Legislatures-updated-2018-FINAL-online-optimized.pdf</vt:lpwstr>
      </vt:variant>
      <vt:variant>
        <vt:lpwstr/>
      </vt:variant>
      <vt:variant>
        <vt:i4>720918</vt:i4>
      </vt:variant>
      <vt:variant>
        <vt:i4>36</vt:i4>
      </vt:variant>
      <vt:variant>
        <vt:i4>0</vt:i4>
      </vt:variant>
      <vt:variant>
        <vt:i4>5</vt:i4>
      </vt:variant>
      <vt:variant>
        <vt:lpwstr>https://www.ipu.org/fr/ressources/publications/reference/2019-11/lignes-directrices-pour-lelimination-du-sexisme-du-harcelement-et-de-la-violence-legard-des-femmes-dans-les</vt:lpwstr>
      </vt:variant>
      <vt:variant>
        <vt:lpwstr/>
      </vt:variant>
      <vt:variant>
        <vt:i4>720918</vt:i4>
      </vt:variant>
      <vt:variant>
        <vt:i4>33</vt:i4>
      </vt:variant>
      <vt:variant>
        <vt:i4>0</vt:i4>
      </vt:variant>
      <vt:variant>
        <vt:i4>5</vt:i4>
      </vt:variant>
      <vt:variant>
        <vt:lpwstr>https://www.ipu.org/fr/ressources/publications/reference/2019-11/lignes-directrices-pour-lelimination-du-sexisme-du-harcelement-et-de-la-violence-legard-des-femmes-dans-les</vt:lpwstr>
      </vt:variant>
      <vt:variant>
        <vt:lpwstr/>
      </vt:variant>
      <vt:variant>
        <vt:i4>3538990</vt:i4>
      </vt:variant>
      <vt:variant>
        <vt:i4>30</vt:i4>
      </vt:variant>
      <vt:variant>
        <vt:i4>0</vt:i4>
      </vt:variant>
      <vt:variant>
        <vt:i4>5</vt:i4>
      </vt:variant>
      <vt:variant>
        <vt:lpwstr>https://www.ipu.org/resources/publications/reference/2019-11/guidelines-elimination-sexism-harassment-and-violence-against-women-in-parliament</vt:lpwstr>
      </vt:variant>
      <vt:variant>
        <vt:lpwstr/>
      </vt:variant>
      <vt:variant>
        <vt:i4>3997765</vt:i4>
      </vt:variant>
      <vt:variant>
        <vt:i4>27</vt:i4>
      </vt:variant>
      <vt:variant>
        <vt:i4>0</vt:i4>
      </vt:variant>
      <vt:variant>
        <vt:i4>5</vt:i4>
      </vt:variant>
      <vt:variant>
        <vt:lpwstr>https://www.parliament.uk/contentassets/3df71b70e8e847f498932d63dede801a/icgs-bullying-user-guide_complainants_interactive-pdfs_update.pdf</vt:lpwstr>
      </vt:variant>
      <vt:variant>
        <vt:lpwstr/>
      </vt:variant>
      <vt:variant>
        <vt:i4>6881384</vt:i4>
      </vt:variant>
      <vt:variant>
        <vt:i4>24</vt:i4>
      </vt:variant>
      <vt:variant>
        <vt:i4>0</vt:i4>
      </vt:variant>
      <vt:variant>
        <vt:i4>5</vt:i4>
      </vt:variant>
      <vt:variant>
        <vt:lpwstr>https://www.oecd.org/gender/governance/toolkit/</vt:lpwstr>
      </vt:variant>
      <vt:variant>
        <vt:lpwstr/>
      </vt:variant>
      <vt:variant>
        <vt:i4>6225932</vt:i4>
      </vt:variant>
      <vt:variant>
        <vt:i4>21</vt:i4>
      </vt:variant>
      <vt:variant>
        <vt:i4>0</vt:i4>
      </vt:variant>
      <vt:variant>
        <vt:i4>5</vt:i4>
      </vt:variant>
      <vt:variant>
        <vt:lpwstr>https://www.wfd.org/wp-content/uploads/2018/10/Recommended-Benchmarks-for-Democratic-Legislatures-updated-2018-FINAL-online-optimized.pdf</vt:lpwstr>
      </vt:variant>
      <vt:variant>
        <vt:lpwstr/>
      </vt:variant>
      <vt:variant>
        <vt:i4>720918</vt:i4>
      </vt:variant>
      <vt:variant>
        <vt:i4>18</vt:i4>
      </vt:variant>
      <vt:variant>
        <vt:i4>0</vt:i4>
      </vt:variant>
      <vt:variant>
        <vt:i4>5</vt:i4>
      </vt:variant>
      <vt:variant>
        <vt:lpwstr>https://www.ipu.org/fr/ressources/publications/reference/2019-11/lignes-directrices-pour-lelimination-du-sexisme-du-harcelement-et-de-la-violence-legard-des-femmes-dans-les</vt:lpwstr>
      </vt:variant>
      <vt:variant>
        <vt:lpwstr/>
      </vt:variant>
      <vt:variant>
        <vt:i4>3538990</vt:i4>
      </vt:variant>
      <vt:variant>
        <vt:i4>15</vt:i4>
      </vt:variant>
      <vt:variant>
        <vt:i4>0</vt:i4>
      </vt:variant>
      <vt:variant>
        <vt:i4>5</vt:i4>
      </vt:variant>
      <vt:variant>
        <vt:lpwstr>https://www.ipu.org/resources/publications/reference/2019-11/guidelines-elimination-sexism-harassment-and-violence-against-women-in-parliament</vt:lpwstr>
      </vt:variant>
      <vt:variant>
        <vt:lpwstr/>
      </vt:variant>
      <vt:variant>
        <vt:i4>3735608</vt:i4>
      </vt:variant>
      <vt:variant>
        <vt:i4>12</vt:i4>
      </vt:variant>
      <vt:variant>
        <vt:i4>0</vt:i4>
      </vt:variant>
      <vt:variant>
        <vt:i4>5</vt:i4>
      </vt:variant>
      <vt:variant>
        <vt:lpwstr>https://www.ipu.org/fr/ressources/publications/outils/2016-11/parlements-evaluer-la-sensibilite-au-genre-outil-dauto-evaluation</vt:lpwstr>
      </vt:variant>
      <vt:variant>
        <vt:lpwstr/>
      </vt:variant>
      <vt:variant>
        <vt:i4>3145761</vt:i4>
      </vt:variant>
      <vt:variant>
        <vt:i4>9</vt:i4>
      </vt:variant>
      <vt:variant>
        <vt:i4>0</vt:i4>
      </vt:variant>
      <vt:variant>
        <vt:i4>5</vt:i4>
      </vt:variant>
      <vt:variant>
        <vt:lpwstr>http://archive.ipu.org/pdf/publications/gsp11-f.pdf</vt:lpwstr>
      </vt:variant>
      <vt:variant>
        <vt:lpwstr/>
      </vt:variant>
      <vt:variant>
        <vt:i4>1900562</vt:i4>
      </vt:variant>
      <vt:variant>
        <vt:i4>6</vt:i4>
      </vt:variant>
      <vt:variant>
        <vt:i4>0</vt:i4>
      </vt:variant>
      <vt:variant>
        <vt:i4>5</vt:i4>
      </vt:variant>
      <vt:variant>
        <vt:lpwstr>https://www.europarl.europa.eu/cmsdata/193404/20120928ATT52592FR-original.pdf</vt:lpwstr>
      </vt:variant>
      <vt:variant>
        <vt:lpwstr/>
      </vt:variant>
      <vt:variant>
        <vt:i4>6225932</vt:i4>
      </vt:variant>
      <vt:variant>
        <vt:i4>3</vt:i4>
      </vt:variant>
      <vt:variant>
        <vt:i4>0</vt:i4>
      </vt:variant>
      <vt:variant>
        <vt:i4>5</vt:i4>
      </vt:variant>
      <vt:variant>
        <vt:lpwstr>https://www.wfd.org/wp-content/uploads/2018/10/Recommended-Benchmarks-for-Democratic-Legislatures-updated-2018-FINAL-online-optimized.pdf</vt:lpwstr>
      </vt:variant>
      <vt:variant>
        <vt:lpwstr/>
      </vt:variant>
      <vt:variant>
        <vt:i4>5636160</vt:i4>
      </vt:variant>
      <vt:variant>
        <vt:i4>0</vt:i4>
      </vt:variant>
      <vt:variant>
        <vt:i4>0</vt:i4>
      </vt:variant>
      <vt:variant>
        <vt:i4>5</vt:i4>
      </vt:variant>
      <vt:variant>
        <vt:lpwstr>https://www.asgp.co/fr/node/30766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Mijanovic</dc:creator>
  <cp:keywords/>
  <dc:description/>
  <cp:lastModifiedBy>Andy Richardson</cp:lastModifiedBy>
  <cp:revision>10</cp:revision>
  <dcterms:created xsi:type="dcterms:W3CDTF">2023-09-16T19:56:00Z</dcterms:created>
  <dcterms:modified xsi:type="dcterms:W3CDTF">2023-10-19T04:31:00Z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