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B4A65" w14:textId="77777777" w:rsidR="007A7D4B" w:rsidRPr="00EA4368" w:rsidRDefault="00030988" w:rsidP="00D560BF">
      <w:pPr>
        <w:pStyle w:val="Heading2"/>
        <w:rPr>
          <w:color w:val="2E75B5"/>
          <w:sz w:val="20"/>
          <w:szCs w:val="20"/>
        </w:rPr>
      </w:pPr>
      <w:r>
        <w:t>Indicator 6.1: Parliamentary environment for public participation</w:t>
      </w:r>
    </w:p>
    <w:p w14:paraId="6181EAD1" w14:textId="77777777" w:rsidR="00EA4368" w:rsidRPr="00EA4368" w:rsidRDefault="00EA4368" w:rsidP="00EA4368">
      <w:pPr>
        <w:pStyle w:val="section-title"/>
      </w:pPr>
      <w:r>
        <w:t>About this indicator</w:t>
      </w:r>
    </w:p>
    <w:p w14:paraId="501A43F1" w14:textId="29724933" w:rsidR="007A7D4B" w:rsidRPr="00380DC7" w:rsidRDefault="00E5613A" w:rsidP="00BE443B">
      <w:pPr>
        <w:spacing w:line="240" w:lineRule="auto"/>
        <w:rPr>
          <w:sz w:val="20"/>
          <w:szCs w:val="20"/>
        </w:rPr>
      </w:pPr>
      <w:r>
        <w:rPr>
          <w:sz w:val="20"/>
        </w:rPr>
        <w:t xml:space="preserve">This indicator assesses the </w:t>
      </w:r>
      <w:r w:rsidR="007F2515">
        <w:rPr>
          <w:sz w:val="20"/>
        </w:rPr>
        <w:t>legal framework</w:t>
      </w:r>
      <w:r>
        <w:rPr>
          <w:sz w:val="20"/>
        </w:rPr>
        <w:t xml:space="preserve"> </w:t>
      </w:r>
      <w:r w:rsidR="00133C87">
        <w:rPr>
          <w:sz w:val="20"/>
        </w:rPr>
        <w:t xml:space="preserve">for </w:t>
      </w:r>
      <w:r>
        <w:rPr>
          <w:sz w:val="20"/>
        </w:rPr>
        <w:t>public participation</w:t>
      </w:r>
      <w:r w:rsidR="00052903">
        <w:rPr>
          <w:sz w:val="20"/>
        </w:rPr>
        <w:t>,</w:t>
      </w:r>
      <w:r>
        <w:rPr>
          <w:sz w:val="20"/>
        </w:rPr>
        <w:t xml:space="preserve"> as well as </w:t>
      </w:r>
      <w:r w:rsidR="00052903">
        <w:rPr>
          <w:sz w:val="20"/>
        </w:rPr>
        <w:t xml:space="preserve">parliament’s </w:t>
      </w:r>
      <w:r>
        <w:rPr>
          <w:sz w:val="20"/>
        </w:rPr>
        <w:t>institutional capacit</w:t>
      </w:r>
      <w:r w:rsidR="00116830">
        <w:rPr>
          <w:sz w:val="20"/>
        </w:rPr>
        <w:t>y</w:t>
      </w:r>
      <w:r>
        <w:rPr>
          <w:sz w:val="20"/>
        </w:rPr>
        <w:t xml:space="preserve"> to implement those provisions in practice.</w:t>
      </w:r>
    </w:p>
    <w:p w14:paraId="1AAD6399" w14:textId="77777777" w:rsidR="007A7D4B" w:rsidRPr="00380DC7" w:rsidRDefault="007A7D4B" w:rsidP="00BE443B">
      <w:pPr>
        <w:spacing w:line="240" w:lineRule="auto"/>
        <w:rPr>
          <w:sz w:val="20"/>
          <w:szCs w:val="20"/>
        </w:rPr>
      </w:pPr>
    </w:p>
    <w:p w14:paraId="08D29F68" w14:textId="76C38558" w:rsidR="007A7D4B" w:rsidRPr="00380DC7" w:rsidRDefault="00030988" w:rsidP="00BE443B">
      <w:pPr>
        <w:spacing w:line="240" w:lineRule="auto"/>
        <w:rPr>
          <w:sz w:val="20"/>
          <w:szCs w:val="20"/>
        </w:rPr>
      </w:pPr>
      <w:r>
        <w:rPr>
          <w:sz w:val="20"/>
        </w:rPr>
        <w:t xml:space="preserve">This indicator also focuses on public education about the work of parliament, </w:t>
      </w:r>
      <w:r w:rsidR="00B114CF">
        <w:rPr>
          <w:sz w:val="20"/>
        </w:rPr>
        <w:t>which aims</w:t>
      </w:r>
      <w:r w:rsidR="00324600">
        <w:rPr>
          <w:sz w:val="20"/>
        </w:rPr>
        <w:t xml:space="preserve"> to</w:t>
      </w:r>
      <w:r>
        <w:rPr>
          <w:sz w:val="20"/>
        </w:rPr>
        <w:t xml:space="preserve"> increas</w:t>
      </w:r>
      <w:r w:rsidR="00324600">
        <w:rPr>
          <w:sz w:val="20"/>
        </w:rPr>
        <w:t>e</w:t>
      </w:r>
      <w:r>
        <w:rPr>
          <w:sz w:val="20"/>
        </w:rPr>
        <w:t xml:space="preserve"> trust in </w:t>
      </w:r>
      <w:r w:rsidR="007174A5">
        <w:rPr>
          <w:sz w:val="20"/>
        </w:rPr>
        <w:t>p</w:t>
      </w:r>
      <w:r>
        <w:rPr>
          <w:sz w:val="20"/>
        </w:rPr>
        <w:t>arliament</w:t>
      </w:r>
      <w:r w:rsidR="00133C87">
        <w:rPr>
          <w:sz w:val="20"/>
        </w:rPr>
        <w:t xml:space="preserve"> and</w:t>
      </w:r>
      <w:r>
        <w:rPr>
          <w:sz w:val="20"/>
        </w:rPr>
        <w:t xml:space="preserve"> broaden opportunities for citizens to communicate their interests. </w:t>
      </w:r>
      <w:proofErr w:type="gramStart"/>
      <w:r>
        <w:rPr>
          <w:sz w:val="20"/>
        </w:rPr>
        <w:t>In order to</w:t>
      </w:r>
      <w:proofErr w:type="gramEnd"/>
      <w:r>
        <w:rPr>
          <w:sz w:val="20"/>
        </w:rPr>
        <w:t xml:space="preserve"> maximize participation, the public should </w:t>
      </w:r>
      <w:r w:rsidR="0043130B">
        <w:rPr>
          <w:sz w:val="20"/>
        </w:rPr>
        <w:t xml:space="preserve">know </w:t>
      </w:r>
      <w:r>
        <w:rPr>
          <w:sz w:val="20"/>
        </w:rPr>
        <w:t xml:space="preserve">not just where and when parliamentary processes take place, but also how they can participate </w:t>
      </w:r>
      <w:r w:rsidR="0043130B">
        <w:rPr>
          <w:sz w:val="20"/>
        </w:rPr>
        <w:t xml:space="preserve">in </w:t>
      </w:r>
      <w:r>
        <w:rPr>
          <w:sz w:val="20"/>
        </w:rPr>
        <w:t xml:space="preserve">and influence decision-making. </w:t>
      </w:r>
    </w:p>
    <w:p w14:paraId="1339FC73" w14:textId="77777777" w:rsidR="007A7D4B" w:rsidRPr="00380DC7" w:rsidRDefault="007A7D4B" w:rsidP="00BE443B">
      <w:pPr>
        <w:spacing w:line="240" w:lineRule="auto"/>
        <w:rPr>
          <w:sz w:val="20"/>
          <w:szCs w:val="20"/>
        </w:rPr>
      </w:pPr>
    </w:p>
    <w:p w14:paraId="32968CF0" w14:textId="113A881C" w:rsidR="007A7D4B" w:rsidRPr="00380DC7" w:rsidRDefault="00116830" w:rsidP="00BE443B">
      <w:pPr>
        <w:spacing w:line="240" w:lineRule="auto"/>
        <w:rPr>
          <w:sz w:val="20"/>
          <w:szCs w:val="20"/>
        </w:rPr>
      </w:pPr>
      <w:r>
        <w:rPr>
          <w:sz w:val="20"/>
        </w:rPr>
        <w:t xml:space="preserve">This </w:t>
      </w:r>
      <w:r w:rsidR="00030988">
        <w:rPr>
          <w:sz w:val="20"/>
        </w:rPr>
        <w:t>indicator comprises the following dimensions:</w:t>
      </w:r>
    </w:p>
    <w:p w14:paraId="54A99FC3" w14:textId="77777777" w:rsidR="007A7D4B" w:rsidRPr="00380DC7" w:rsidRDefault="007A7D4B" w:rsidP="00BE443B">
      <w:pPr>
        <w:spacing w:line="240" w:lineRule="auto"/>
        <w:rPr>
          <w:sz w:val="20"/>
          <w:szCs w:val="20"/>
        </w:rPr>
      </w:pPr>
    </w:p>
    <w:p w14:paraId="0A62EE1C" w14:textId="0D8451EC" w:rsidR="007A7D4B" w:rsidRDefault="00253F27" w:rsidP="00BE443B">
      <w:pPr>
        <w:numPr>
          <w:ilvl w:val="0"/>
          <w:numId w:val="1"/>
        </w:numPr>
        <w:spacing w:line="240" w:lineRule="auto"/>
        <w:ind w:left="562" w:hanging="562"/>
        <w:rPr>
          <w:sz w:val="20"/>
          <w:szCs w:val="20"/>
        </w:rPr>
      </w:pPr>
      <w:r>
        <w:rPr>
          <w:sz w:val="20"/>
        </w:rPr>
        <w:t xml:space="preserve">Dimension </w:t>
      </w:r>
      <w:r w:rsidR="00030988">
        <w:rPr>
          <w:sz w:val="20"/>
        </w:rPr>
        <w:t>6.1.1</w:t>
      </w:r>
      <w:r w:rsidR="005C35C5">
        <w:rPr>
          <w:sz w:val="20"/>
        </w:rPr>
        <w:t>:</w:t>
      </w:r>
      <w:r w:rsidR="00030988">
        <w:rPr>
          <w:sz w:val="20"/>
        </w:rPr>
        <w:t xml:space="preserve"> </w:t>
      </w:r>
      <w:r w:rsidR="007F2515">
        <w:rPr>
          <w:sz w:val="20"/>
        </w:rPr>
        <w:t xml:space="preserve">Legal </w:t>
      </w:r>
      <w:r w:rsidR="00030988">
        <w:rPr>
          <w:sz w:val="20"/>
        </w:rPr>
        <w:t>framework for public participation</w:t>
      </w:r>
    </w:p>
    <w:p w14:paraId="10555BBA" w14:textId="77777777" w:rsidR="00BE443B" w:rsidRPr="00380DC7" w:rsidRDefault="00BE443B" w:rsidP="00BE443B">
      <w:pPr>
        <w:spacing w:line="240" w:lineRule="auto"/>
        <w:ind w:left="562"/>
        <w:rPr>
          <w:sz w:val="20"/>
          <w:szCs w:val="20"/>
        </w:rPr>
      </w:pPr>
    </w:p>
    <w:p w14:paraId="35ACA0D9" w14:textId="788A4E10" w:rsidR="00BE443B" w:rsidRDefault="00253F27" w:rsidP="00BE443B">
      <w:pPr>
        <w:numPr>
          <w:ilvl w:val="0"/>
          <w:numId w:val="1"/>
        </w:numPr>
        <w:spacing w:line="240" w:lineRule="auto"/>
        <w:ind w:left="562" w:hanging="562"/>
        <w:rPr>
          <w:sz w:val="20"/>
          <w:szCs w:val="20"/>
        </w:rPr>
      </w:pPr>
      <w:r>
        <w:rPr>
          <w:sz w:val="20"/>
        </w:rPr>
        <w:t xml:space="preserve">Dimension </w:t>
      </w:r>
      <w:r w:rsidR="00030988">
        <w:rPr>
          <w:sz w:val="20"/>
        </w:rPr>
        <w:t>6.1.2</w:t>
      </w:r>
      <w:r w:rsidR="005C35C5">
        <w:rPr>
          <w:sz w:val="20"/>
        </w:rPr>
        <w:t>:</w:t>
      </w:r>
      <w:r w:rsidR="00030988">
        <w:rPr>
          <w:sz w:val="20"/>
        </w:rPr>
        <w:t xml:space="preserve"> Institutional capacity for public participation </w:t>
      </w:r>
    </w:p>
    <w:p w14:paraId="3AA37A1A" w14:textId="77777777" w:rsidR="00FC5D5D" w:rsidRDefault="00FC5D5D" w:rsidP="00877354">
      <w:pPr>
        <w:pStyle w:val="ListParagraph"/>
      </w:pPr>
    </w:p>
    <w:p w14:paraId="2C90060C" w14:textId="55C71CEA" w:rsidR="007A7D4B" w:rsidRPr="00FC5D5D" w:rsidRDefault="00253F27" w:rsidP="00FC5D5D">
      <w:pPr>
        <w:numPr>
          <w:ilvl w:val="0"/>
          <w:numId w:val="1"/>
        </w:numPr>
        <w:spacing w:line="240" w:lineRule="auto"/>
        <w:ind w:left="562" w:hanging="562"/>
        <w:rPr>
          <w:sz w:val="20"/>
          <w:szCs w:val="20"/>
        </w:rPr>
      </w:pPr>
      <w:r>
        <w:rPr>
          <w:sz w:val="20"/>
        </w:rPr>
        <w:t xml:space="preserve">Dimension </w:t>
      </w:r>
      <w:r w:rsidR="00030988">
        <w:rPr>
          <w:sz w:val="20"/>
        </w:rPr>
        <w:t>6.1.3</w:t>
      </w:r>
      <w:r w:rsidR="005C35C5">
        <w:rPr>
          <w:sz w:val="20"/>
        </w:rPr>
        <w:t>:</w:t>
      </w:r>
      <w:r w:rsidR="00030988">
        <w:rPr>
          <w:sz w:val="20"/>
        </w:rPr>
        <w:t xml:space="preserve"> Public education about the work of parliament </w:t>
      </w:r>
    </w:p>
    <w:p w14:paraId="2C44C297" w14:textId="77777777" w:rsidR="007A7D4B" w:rsidRPr="00380DC7" w:rsidRDefault="007A7D4B">
      <w:pPr>
        <w:rPr>
          <w:sz w:val="20"/>
          <w:szCs w:val="20"/>
        </w:rPr>
      </w:pPr>
    </w:p>
    <w:p w14:paraId="64E9F897" w14:textId="77777777" w:rsidR="007A7D4B" w:rsidRPr="00380DC7" w:rsidRDefault="00030988">
      <w:pPr>
        <w:rPr>
          <w:sz w:val="20"/>
          <w:szCs w:val="20"/>
        </w:rPr>
      </w:pPr>
      <w:bookmarkStart w:id="0" w:name="_b7zis3759eud"/>
      <w:bookmarkEnd w:id="0"/>
      <w:r>
        <w:rPr>
          <w:sz w:val="20"/>
          <w:highlight w:val="white"/>
        </w:rPr>
        <w:t xml:space="preserve"> </w:t>
      </w:r>
    </w:p>
    <w:p w14:paraId="7EF29B9C" w14:textId="77777777" w:rsidR="007A7D4B" w:rsidRPr="00380DC7" w:rsidRDefault="007A7D4B">
      <w:pPr>
        <w:rPr>
          <w:sz w:val="20"/>
          <w:szCs w:val="20"/>
        </w:rPr>
      </w:pPr>
    </w:p>
    <w:p w14:paraId="6AE5423D" w14:textId="77777777" w:rsidR="007A7D4B" w:rsidRPr="00380DC7" w:rsidRDefault="007A7D4B">
      <w:pPr>
        <w:rPr>
          <w:sz w:val="20"/>
          <w:szCs w:val="20"/>
        </w:rPr>
      </w:pPr>
    </w:p>
    <w:p w14:paraId="782B0B2D" w14:textId="77777777" w:rsidR="007A7D4B" w:rsidRPr="00380DC7" w:rsidRDefault="007A7D4B">
      <w:pPr>
        <w:rPr>
          <w:sz w:val="20"/>
          <w:szCs w:val="20"/>
        </w:rPr>
      </w:pPr>
    </w:p>
    <w:p w14:paraId="2658C8A4" w14:textId="77777777" w:rsidR="007A7D4B" w:rsidRPr="00380DC7" w:rsidRDefault="007A7D4B">
      <w:pPr>
        <w:rPr>
          <w:sz w:val="20"/>
          <w:szCs w:val="20"/>
        </w:rPr>
      </w:pPr>
    </w:p>
    <w:p w14:paraId="371608D4" w14:textId="2847839B" w:rsidR="007A7D4B" w:rsidRPr="00380DC7" w:rsidRDefault="00030988" w:rsidP="005C2D81">
      <w:pPr>
        <w:pStyle w:val="Heading3"/>
      </w:pPr>
      <w:r>
        <w:lastRenderedPageBreak/>
        <w:t xml:space="preserve">Dimension 6.1.1: </w:t>
      </w:r>
      <w:r w:rsidR="007F2515">
        <w:t xml:space="preserve">Legal </w:t>
      </w:r>
      <w:r>
        <w:t xml:space="preserve">framework for public participation </w:t>
      </w:r>
    </w:p>
    <w:tbl>
      <w:tblPr>
        <w:tblStyle w:val="TableGrid"/>
        <w:tblW w:w="0" w:type="auto"/>
        <w:shd w:val="clear" w:color="auto" w:fill="EEEEEE"/>
        <w:tblLook w:val="04A0" w:firstRow="1" w:lastRow="0" w:firstColumn="1" w:lastColumn="0" w:noHBand="0" w:noVBand="1"/>
      </w:tblPr>
      <w:tblGrid>
        <w:gridCol w:w="9120"/>
      </w:tblGrid>
      <w:tr w:rsidR="00EA4368" w14:paraId="4B2674C8" w14:textId="77777777" w:rsidTr="00520551">
        <w:tc>
          <w:tcPr>
            <w:tcW w:w="9350" w:type="dxa"/>
            <w:shd w:val="clear" w:color="auto" w:fill="EEEEEE"/>
          </w:tcPr>
          <w:p w14:paraId="635D9145" w14:textId="5A90A5FA" w:rsidR="00EA4368" w:rsidRPr="00DD2EB3" w:rsidRDefault="00EA4368" w:rsidP="00520551">
            <w:pPr>
              <w:rPr>
                <w:rFonts w:eastAsia="Arial" w:cs="Arial"/>
                <w:sz w:val="20"/>
                <w:szCs w:val="20"/>
              </w:rPr>
            </w:pPr>
            <w:bookmarkStart w:id="1" w:name="_er168ifazwml"/>
            <w:bookmarkEnd w:id="1"/>
            <w:r>
              <w:rPr>
                <w:sz w:val="20"/>
              </w:rPr>
              <w:t>This dimension is part of:</w:t>
            </w:r>
          </w:p>
          <w:p w14:paraId="179ADF42" w14:textId="77777777" w:rsidR="00EA4368" w:rsidRPr="00DD2EB3" w:rsidRDefault="00EA4368" w:rsidP="00877354">
            <w:pPr>
              <w:pStyle w:val="ListParagraph"/>
            </w:pPr>
            <w:r>
              <w:t>Indicator 6.1: Parliamentary environment for public participation</w:t>
            </w:r>
          </w:p>
          <w:p w14:paraId="0D4C8211" w14:textId="15DEBF04" w:rsidR="00EA4368" w:rsidRPr="00DD2EB3" w:rsidRDefault="00F23B3F" w:rsidP="00877354">
            <w:pPr>
              <w:pStyle w:val="ListParagraph"/>
              <w:rPr>
                <w:sz w:val="24"/>
              </w:rPr>
            </w:pPr>
            <w:r w:rsidRPr="00B31823">
              <w:t xml:space="preserve">Target </w:t>
            </w:r>
            <w:r w:rsidR="00EA4368">
              <w:t>6: Participatory parliament</w:t>
            </w:r>
          </w:p>
        </w:tc>
      </w:tr>
    </w:tbl>
    <w:p w14:paraId="1D5AF5C0" w14:textId="77777777" w:rsidR="007A7D4B" w:rsidRPr="00EA4368" w:rsidRDefault="00E5613A" w:rsidP="00BE443B">
      <w:pPr>
        <w:pStyle w:val="section-title"/>
      </w:pPr>
      <w:bookmarkStart w:id="2" w:name="_7w08xol1l5mt"/>
      <w:bookmarkEnd w:id="2"/>
      <w:r>
        <w:t>About this dimension</w:t>
      </w:r>
    </w:p>
    <w:p w14:paraId="4592791A" w14:textId="073C5229" w:rsidR="007A7D4B" w:rsidRPr="00380DC7" w:rsidRDefault="00030988" w:rsidP="00BE443B">
      <w:pPr>
        <w:spacing w:line="240" w:lineRule="auto"/>
        <w:rPr>
          <w:sz w:val="20"/>
          <w:szCs w:val="20"/>
        </w:rPr>
      </w:pPr>
      <w:r>
        <w:rPr>
          <w:sz w:val="20"/>
        </w:rPr>
        <w:t xml:space="preserve">A sound </w:t>
      </w:r>
      <w:r w:rsidR="00E94AF5">
        <w:rPr>
          <w:sz w:val="20"/>
        </w:rPr>
        <w:t xml:space="preserve">legal </w:t>
      </w:r>
      <w:r>
        <w:rPr>
          <w:sz w:val="20"/>
        </w:rPr>
        <w:t>framework is vital for enabling and encouraging public participation in the work of parliament. The constitution</w:t>
      </w:r>
      <w:r w:rsidR="00E94AF5">
        <w:rPr>
          <w:sz w:val="20"/>
        </w:rPr>
        <w:t xml:space="preserve"> and</w:t>
      </w:r>
      <w:r w:rsidR="00D162A2">
        <w:rPr>
          <w:sz w:val="20"/>
        </w:rPr>
        <w:t xml:space="preserve"> laws</w:t>
      </w:r>
      <w:r>
        <w:rPr>
          <w:sz w:val="20"/>
        </w:rPr>
        <w:t>, as well as parliament’s own rules of procedure</w:t>
      </w:r>
      <w:r w:rsidR="00923A42">
        <w:rPr>
          <w:sz w:val="20"/>
        </w:rPr>
        <w:t>,</w:t>
      </w:r>
      <w:r>
        <w:rPr>
          <w:sz w:val="20"/>
        </w:rPr>
        <w:t xml:space="preserve"> should provide an enabling environment for civil society, academi</w:t>
      </w:r>
      <w:r w:rsidR="00194709">
        <w:rPr>
          <w:sz w:val="20"/>
        </w:rPr>
        <w:t>cs</w:t>
      </w:r>
      <w:r>
        <w:rPr>
          <w:sz w:val="20"/>
        </w:rPr>
        <w:t xml:space="preserve">, </w:t>
      </w:r>
      <w:proofErr w:type="gramStart"/>
      <w:r>
        <w:rPr>
          <w:sz w:val="20"/>
        </w:rPr>
        <w:t>experts</w:t>
      </w:r>
      <w:proofErr w:type="gramEnd"/>
      <w:r>
        <w:rPr>
          <w:sz w:val="20"/>
        </w:rPr>
        <w:t xml:space="preserve"> and the public</w:t>
      </w:r>
      <w:r w:rsidR="00194709">
        <w:rPr>
          <w:sz w:val="20"/>
        </w:rPr>
        <w:t xml:space="preserve"> in general</w:t>
      </w:r>
      <w:r>
        <w:rPr>
          <w:sz w:val="20"/>
        </w:rPr>
        <w:t xml:space="preserve"> to engage systematically in online and on-site </w:t>
      </w:r>
      <w:r w:rsidR="00923A42">
        <w:rPr>
          <w:sz w:val="20"/>
        </w:rPr>
        <w:t xml:space="preserve">parliamentary </w:t>
      </w:r>
      <w:r>
        <w:rPr>
          <w:sz w:val="20"/>
        </w:rPr>
        <w:t xml:space="preserve">work. </w:t>
      </w:r>
      <w:r w:rsidR="00D162A2">
        <w:rPr>
          <w:sz w:val="20"/>
        </w:rPr>
        <w:t>This framework is designed to encourage rather than hinder public participation.</w:t>
      </w:r>
    </w:p>
    <w:p w14:paraId="1F3CB6AF" w14:textId="77777777" w:rsidR="007A7D4B" w:rsidRPr="00380DC7" w:rsidRDefault="007A7D4B" w:rsidP="00BE443B">
      <w:pPr>
        <w:spacing w:line="240" w:lineRule="auto"/>
        <w:rPr>
          <w:sz w:val="20"/>
          <w:szCs w:val="20"/>
        </w:rPr>
      </w:pPr>
    </w:p>
    <w:p w14:paraId="7739220D" w14:textId="6BC143F6" w:rsidR="007A7D4B" w:rsidRPr="00380DC7" w:rsidRDefault="00030988" w:rsidP="00BE443B">
      <w:pPr>
        <w:spacing w:line="240" w:lineRule="auto"/>
        <w:rPr>
          <w:sz w:val="20"/>
          <w:szCs w:val="20"/>
        </w:rPr>
      </w:pPr>
      <w:r>
        <w:rPr>
          <w:sz w:val="20"/>
        </w:rPr>
        <w:t xml:space="preserve">This concept </w:t>
      </w:r>
      <w:r w:rsidR="0064207E">
        <w:rPr>
          <w:sz w:val="20"/>
        </w:rPr>
        <w:t xml:space="preserve">implies that parliament </w:t>
      </w:r>
      <w:r w:rsidR="00134177">
        <w:rPr>
          <w:sz w:val="20"/>
        </w:rPr>
        <w:t>has a</w:t>
      </w:r>
      <w:r w:rsidR="0064207E">
        <w:rPr>
          <w:sz w:val="20"/>
        </w:rPr>
        <w:t xml:space="preserve"> responsib</w:t>
      </w:r>
      <w:r w:rsidR="00134177">
        <w:rPr>
          <w:sz w:val="20"/>
        </w:rPr>
        <w:t>ility</w:t>
      </w:r>
      <w:r w:rsidR="0064207E">
        <w:rPr>
          <w:sz w:val="20"/>
        </w:rPr>
        <w:t xml:space="preserve"> for</w:t>
      </w:r>
      <w:r>
        <w:rPr>
          <w:sz w:val="20"/>
        </w:rPr>
        <w:t xml:space="preserve"> shap</w:t>
      </w:r>
      <w:r w:rsidR="0064207E">
        <w:rPr>
          <w:sz w:val="20"/>
        </w:rPr>
        <w:t>ing</w:t>
      </w:r>
      <w:r>
        <w:rPr>
          <w:sz w:val="20"/>
        </w:rPr>
        <w:t xml:space="preserve"> the enabling civic space necessary for effective public participation in all areas</w:t>
      </w:r>
      <w:r w:rsidR="00D162A2">
        <w:rPr>
          <w:sz w:val="20"/>
        </w:rPr>
        <w:t xml:space="preserve"> of public life</w:t>
      </w:r>
      <w:r>
        <w:rPr>
          <w:sz w:val="20"/>
        </w:rPr>
        <w:t xml:space="preserve">, not only </w:t>
      </w:r>
      <w:r w:rsidR="0064207E">
        <w:rPr>
          <w:sz w:val="20"/>
        </w:rPr>
        <w:t xml:space="preserve">in </w:t>
      </w:r>
      <w:r>
        <w:rPr>
          <w:sz w:val="20"/>
        </w:rPr>
        <w:t xml:space="preserve">parliamentary work. To this end, the instances and mechanisms through which citizens could contribute should be clearly established, </w:t>
      </w:r>
      <w:r w:rsidR="0064207E">
        <w:rPr>
          <w:sz w:val="20"/>
        </w:rPr>
        <w:t xml:space="preserve">and </w:t>
      </w:r>
      <w:r>
        <w:rPr>
          <w:sz w:val="20"/>
        </w:rPr>
        <w:t>those responsible for managing participation processes</w:t>
      </w:r>
      <w:r w:rsidR="0064207E">
        <w:rPr>
          <w:sz w:val="20"/>
        </w:rPr>
        <w:t xml:space="preserve"> should be identified</w:t>
      </w:r>
      <w:r>
        <w:rPr>
          <w:sz w:val="20"/>
        </w:rPr>
        <w:t>.</w:t>
      </w:r>
    </w:p>
    <w:p w14:paraId="65DC3BB1" w14:textId="77777777" w:rsidR="007A7D4B" w:rsidRPr="00380DC7" w:rsidRDefault="007A7D4B" w:rsidP="00BE443B">
      <w:pPr>
        <w:spacing w:line="240" w:lineRule="auto"/>
        <w:rPr>
          <w:sz w:val="20"/>
          <w:szCs w:val="20"/>
        </w:rPr>
      </w:pPr>
    </w:p>
    <w:p w14:paraId="4CEACF97" w14:textId="3C40FBB6" w:rsidR="00E5613A" w:rsidRPr="00380DC7" w:rsidRDefault="00030988" w:rsidP="00BE443B">
      <w:pPr>
        <w:spacing w:line="240" w:lineRule="auto"/>
        <w:rPr>
          <w:sz w:val="20"/>
          <w:szCs w:val="20"/>
        </w:rPr>
      </w:pPr>
      <w:r>
        <w:rPr>
          <w:sz w:val="20"/>
        </w:rPr>
        <w:t xml:space="preserve">The </w:t>
      </w:r>
      <w:r w:rsidR="00632471">
        <w:rPr>
          <w:sz w:val="20"/>
        </w:rPr>
        <w:t xml:space="preserve">legal </w:t>
      </w:r>
      <w:r>
        <w:rPr>
          <w:sz w:val="20"/>
        </w:rPr>
        <w:t xml:space="preserve">framework </w:t>
      </w:r>
      <w:r w:rsidR="00803F5D">
        <w:rPr>
          <w:sz w:val="20"/>
        </w:rPr>
        <w:t xml:space="preserve">should </w:t>
      </w:r>
      <w:r>
        <w:rPr>
          <w:sz w:val="20"/>
        </w:rPr>
        <w:t xml:space="preserve">also include appropriate protections for </w:t>
      </w:r>
      <w:r w:rsidR="00803F5D">
        <w:rPr>
          <w:sz w:val="20"/>
        </w:rPr>
        <w:t xml:space="preserve">the </w:t>
      </w:r>
      <w:r>
        <w:rPr>
          <w:sz w:val="20"/>
        </w:rPr>
        <w:t xml:space="preserve">personal information citizens may provide </w:t>
      </w:r>
      <w:r w:rsidR="00803F5D">
        <w:rPr>
          <w:sz w:val="20"/>
        </w:rPr>
        <w:t>when</w:t>
      </w:r>
      <w:r>
        <w:rPr>
          <w:sz w:val="20"/>
        </w:rPr>
        <w:t xml:space="preserve"> engaging with </w:t>
      </w:r>
      <w:r w:rsidR="00803F5D">
        <w:rPr>
          <w:sz w:val="20"/>
        </w:rPr>
        <w:t>parliament</w:t>
      </w:r>
      <w:r>
        <w:rPr>
          <w:sz w:val="20"/>
        </w:rPr>
        <w:t xml:space="preserve">. Citizens need to have a clear idea of how </w:t>
      </w:r>
      <w:r w:rsidR="00803F5D">
        <w:rPr>
          <w:sz w:val="20"/>
        </w:rPr>
        <w:t>their personal information</w:t>
      </w:r>
      <w:r>
        <w:rPr>
          <w:sz w:val="20"/>
        </w:rPr>
        <w:t xml:space="preserve"> will be used or re-used. The </w:t>
      </w:r>
      <w:r w:rsidR="00803F5D">
        <w:rPr>
          <w:sz w:val="20"/>
        </w:rPr>
        <w:t xml:space="preserve">privacy-related </w:t>
      </w:r>
      <w:r>
        <w:rPr>
          <w:sz w:val="20"/>
        </w:rPr>
        <w:t xml:space="preserve">rules and procedures should also </w:t>
      </w:r>
      <w:r w:rsidR="00803F5D">
        <w:rPr>
          <w:sz w:val="20"/>
        </w:rPr>
        <w:t>prohibit</w:t>
      </w:r>
      <w:r>
        <w:rPr>
          <w:sz w:val="20"/>
        </w:rPr>
        <w:t xml:space="preserve"> the tracking of personal information without the </w:t>
      </w:r>
      <w:r w:rsidR="00803F5D">
        <w:rPr>
          <w:sz w:val="20"/>
        </w:rPr>
        <w:t xml:space="preserve">individual’s </w:t>
      </w:r>
      <w:r>
        <w:rPr>
          <w:sz w:val="20"/>
        </w:rPr>
        <w:t>clear consent. At the same time, any requirement for citizens to provid</w:t>
      </w:r>
      <w:r w:rsidR="00803F5D">
        <w:rPr>
          <w:sz w:val="20"/>
        </w:rPr>
        <w:t>e</w:t>
      </w:r>
      <w:r>
        <w:rPr>
          <w:sz w:val="20"/>
        </w:rPr>
        <w:t xml:space="preserve"> information, such as completing a registration form, should not be an impediment to </w:t>
      </w:r>
      <w:r w:rsidR="00803F5D">
        <w:rPr>
          <w:sz w:val="20"/>
        </w:rPr>
        <w:t xml:space="preserve">them </w:t>
      </w:r>
      <w:r>
        <w:rPr>
          <w:sz w:val="20"/>
        </w:rPr>
        <w:t>engag</w:t>
      </w:r>
      <w:r w:rsidR="00803F5D">
        <w:rPr>
          <w:sz w:val="20"/>
        </w:rPr>
        <w:t>ing</w:t>
      </w:r>
      <w:r>
        <w:rPr>
          <w:sz w:val="20"/>
        </w:rPr>
        <w:t xml:space="preserve"> with parliament.</w:t>
      </w:r>
    </w:p>
    <w:p w14:paraId="672AA8F9" w14:textId="77777777" w:rsidR="007A7D4B" w:rsidRPr="00EA4368" w:rsidRDefault="00E5613A" w:rsidP="00BE443B">
      <w:pPr>
        <w:pStyle w:val="section-title"/>
      </w:pPr>
      <w:r>
        <w:t>Aspiring goal</w:t>
      </w:r>
    </w:p>
    <w:tbl>
      <w:tblPr>
        <w:tblStyle w:val="a"/>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7A7D4B" w:rsidRPr="00380DC7" w14:paraId="5E2ECCDA" w14:textId="77777777" w:rsidTr="00EA4368">
        <w:trPr>
          <w:trHeight w:val="63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6AA13F7B" w14:textId="2405401F" w:rsidR="007A7D4B" w:rsidRPr="00EA4368" w:rsidRDefault="00E5613A" w:rsidP="00BE443B">
            <w:pPr>
              <w:spacing w:line="240" w:lineRule="auto"/>
              <w:rPr>
                <w:i/>
                <w:sz w:val="20"/>
                <w:szCs w:val="20"/>
              </w:rPr>
            </w:pPr>
            <w:r>
              <w:rPr>
                <w:i/>
                <w:sz w:val="20"/>
              </w:rPr>
              <w:t xml:space="preserve">Based on a global comparative analysis, an aspiring goal for parliaments </w:t>
            </w:r>
            <w:proofErr w:type="gramStart"/>
            <w:r>
              <w:rPr>
                <w:i/>
                <w:sz w:val="20"/>
              </w:rPr>
              <w:t>in the area of</w:t>
            </w:r>
            <w:proofErr w:type="gramEnd"/>
            <w:r>
              <w:rPr>
                <w:i/>
                <w:sz w:val="20"/>
              </w:rPr>
              <w:t xml:space="preserve"> </w:t>
            </w:r>
            <w:r w:rsidR="00194709">
              <w:rPr>
                <w:i/>
                <w:sz w:val="20"/>
              </w:rPr>
              <w:t>“</w:t>
            </w:r>
            <w:r w:rsidR="00BE21E3">
              <w:rPr>
                <w:i/>
                <w:sz w:val="20"/>
              </w:rPr>
              <w:t xml:space="preserve">legal </w:t>
            </w:r>
            <w:r>
              <w:rPr>
                <w:i/>
                <w:sz w:val="20"/>
              </w:rPr>
              <w:t>framework for public participation</w:t>
            </w:r>
            <w:r w:rsidR="00194709">
              <w:rPr>
                <w:i/>
                <w:sz w:val="20"/>
              </w:rPr>
              <w:t>”</w:t>
            </w:r>
            <w:r>
              <w:rPr>
                <w:i/>
                <w:sz w:val="20"/>
              </w:rPr>
              <w:t xml:space="preserve"> is as follows:</w:t>
            </w:r>
          </w:p>
          <w:p w14:paraId="470D4885" w14:textId="77777777" w:rsidR="007A7D4B" w:rsidRPr="00EA4368" w:rsidRDefault="007A7D4B" w:rsidP="00BE443B">
            <w:pPr>
              <w:spacing w:line="240" w:lineRule="auto"/>
              <w:rPr>
                <w:sz w:val="20"/>
                <w:szCs w:val="20"/>
              </w:rPr>
            </w:pPr>
          </w:p>
          <w:p w14:paraId="63A3F34D" w14:textId="7879B847" w:rsidR="007A7D4B" w:rsidRPr="00EA4368" w:rsidRDefault="00030988" w:rsidP="00BE443B">
            <w:pPr>
              <w:spacing w:after="160" w:line="240" w:lineRule="auto"/>
              <w:rPr>
                <w:sz w:val="20"/>
                <w:szCs w:val="20"/>
              </w:rPr>
            </w:pPr>
            <w:r>
              <w:rPr>
                <w:sz w:val="20"/>
              </w:rPr>
              <w:t xml:space="preserve">Parliament contributes to the protection of the </w:t>
            </w:r>
            <w:r w:rsidR="008121B2">
              <w:rPr>
                <w:sz w:val="20"/>
              </w:rPr>
              <w:t xml:space="preserve">enabling </w:t>
            </w:r>
            <w:r>
              <w:rPr>
                <w:sz w:val="20"/>
              </w:rPr>
              <w:t xml:space="preserve">civic space </w:t>
            </w:r>
            <w:r w:rsidR="008121B2">
              <w:rPr>
                <w:sz w:val="20"/>
              </w:rPr>
              <w:t xml:space="preserve">necessary </w:t>
            </w:r>
            <w:r>
              <w:rPr>
                <w:sz w:val="20"/>
              </w:rPr>
              <w:t xml:space="preserve">for effective participation in all areas of public life, including but not limited to parliamentary work. </w:t>
            </w:r>
          </w:p>
          <w:p w14:paraId="23B9BAC6" w14:textId="181DB2E7" w:rsidR="007A7D4B" w:rsidRPr="00EA4368" w:rsidRDefault="008121B2" w:rsidP="00BE443B">
            <w:pPr>
              <w:spacing w:after="160" w:line="240" w:lineRule="auto"/>
              <w:rPr>
                <w:sz w:val="20"/>
                <w:szCs w:val="20"/>
              </w:rPr>
            </w:pPr>
            <w:r>
              <w:rPr>
                <w:sz w:val="20"/>
              </w:rPr>
              <w:t>A</w:t>
            </w:r>
            <w:r w:rsidR="00030988">
              <w:rPr>
                <w:sz w:val="20"/>
              </w:rPr>
              <w:t xml:space="preserve"> clear </w:t>
            </w:r>
            <w:r w:rsidR="001E6296">
              <w:rPr>
                <w:sz w:val="20"/>
              </w:rPr>
              <w:t xml:space="preserve">legal </w:t>
            </w:r>
            <w:r w:rsidR="00030988">
              <w:rPr>
                <w:sz w:val="20"/>
              </w:rPr>
              <w:t>framework provides the right for members of the public to participate in parliamentary business</w:t>
            </w:r>
            <w:r>
              <w:rPr>
                <w:sz w:val="20"/>
              </w:rPr>
              <w:t>, such as</w:t>
            </w:r>
            <w:r w:rsidR="00030988">
              <w:rPr>
                <w:sz w:val="20"/>
              </w:rPr>
              <w:t xml:space="preserve"> by bringing issues to the attention of parliament, contributing evidence to legislative and oversight processes, </w:t>
            </w:r>
            <w:r>
              <w:rPr>
                <w:sz w:val="20"/>
              </w:rPr>
              <w:t xml:space="preserve">and </w:t>
            </w:r>
            <w:r w:rsidR="00030988">
              <w:rPr>
                <w:sz w:val="20"/>
              </w:rPr>
              <w:t xml:space="preserve">commenting on </w:t>
            </w:r>
            <w:r>
              <w:rPr>
                <w:sz w:val="20"/>
              </w:rPr>
              <w:t>proposals for laws</w:t>
            </w:r>
            <w:r w:rsidR="00030988">
              <w:rPr>
                <w:sz w:val="20"/>
              </w:rPr>
              <w:t xml:space="preserve">. </w:t>
            </w:r>
          </w:p>
          <w:p w14:paraId="273F03B1" w14:textId="2D2C6AEC" w:rsidR="007A7D4B" w:rsidRDefault="00030988" w:rsidP="00BE443B">
            <w:pPr>
              <w:spacing w:line="240" w:lineRule="auto"/>
              <w:rPr>
                <w:sz w:val="20"/>
                <w:szCs w:val="20"/>
              </w:rPr>
            </w:pPr>
            <w:r>
              <w:rPr>
                <w:sz w:val="20"/>
              </w:rPr>
              <w:t xml:space="preserve">The </w:t>
            </w:r>
            <w:r w:rsidR="00632471">
              <w:rPr>
                <w:sz w:val="20"/>
              </w:rPr>
              <w:t xml:space="preserve">legal </w:t>
            </w:r>
            <w:r>
              <w:rPr>
                <w:sz w:val="20"/>
              </w:rPr>
              <w:t xml:space="preserve">framework for public participation </w:t>
            </w:r>
            <w:r w:rsidR="008121B2">
              <w:rPr>
                <w:sz w:val="20"/>
              </w:rPr>
              <w:t>contains provisions that protect the</w:t>
            </w:r>
            <w:r>
              <w:rPr>
                <w:sz w:val="20"/>
              </w:rPr>
              <w:t xml:space="preserve"> privacy of people who engage with the parliament.</w:t>
            </w:r>
          </w:p>
          <w:p w14:paraId="377D54E6" w14:textId="77777777" w:rsidR="00EA4368" w:rsidRPr="00380DC7" w:rsidRDefault="00EA4368">
            <w:pPr>
              <w:rPr>
                <w:color w:val="005F9A"/>
                <w:sz w:val="20"/>
                <w:szCs w:val="20"/>
              </w:rPr>
            </w:pPr>
          </w:p>
        </w:tc>
      </w:tr>
    </w:tbl>
    <w:p w14:paraId="4475A41B" w14:textId="77777777" w:rsidR="007A7D4B" w:rsidRPr="00380DC7" w:rsidRDefault="00030988" w:rsidP="00EA4368">
      <w:pPr>
        <w:pStyle w:val="section-title"/>
      </w:pPr>
      <w:r>
        <w:t>Assessment</w:t>
      </w:r>
    </w:p>
    <w:p w14:paraId="702582A3" w14:textId="520E02D8" w:rsidR="007A7D4B" w:rsidRPr="00380DC7" w:rsidRDefault="00030988" w:rsidP="00BE443B">
      <w:pPr>
        <w:spacing w:before="200" w:line="240" w:lineRule="auto"/>
        <w:rPr>
          <w:sz w:val="20"/>
          <w:szCs w:val="20"/>
        </w:rPr>
      </w:pPr>
      <w:r>
        <w:rPr>
          <w:sz w:val="20"/>
        </w:rPr>
        <w:t>Th</w:t>
      </w:r>
      <w:r w:rsidR="008121B2">
        <w:rPr>
          <w:sz w:val="20"/>
        </w:rPr>
        <w:t>is</w:t>
      </w:r>
      <w:r>
        <w:rPr>
          <w:sz w:val="20"/>
        </w:rPr>
        <w:t xml:space="preserve"> dimension is assessed against several criteria, each of which should be evaluated separately. For each criterion, select one of the six descriptive grades (Non-existent, Rudimentary, Basic, Good, </w:t>
      </w:r>
      <w:proofErr w:type="gramStart"/>
      <w:r>
        <w:rPr>
          <w:sz w:val="20"/>
        </w:rPr>
        <w:t>Very</w:t>
      </w:r>
      <w:proofErr w:type="gramEnd"/>
      <w:r>
        <w:rPr>
          <w:sz w:val="20"/>
        </w:rPr>
        <w:t xml:space="preserve"> good and Excellent) that best reflects the situation in your parliament, and provide details of the evidence on which this assessment is based. </w:t>
      </w:r>
    </w:p>
    <w:p w14:paraId="6A119775" w14:textId="7E8FFC6B" w:rsidR="007A7D4B" w:rsidRPr="00380DC7" w:rsidRDefault="00030988" w:rsidP="00BE443B">
      <w:pPr>
        <w:spacing w:before="200" w:line="240" w:lineRule="auto"/>
        <w:rPr>
          <w:sz w:val="20"/>
          <w:szCs w:val="20"/>
        </w:rPr>
      </w:pPr>
      <w:r>
        <w:rPr>
          <w:sz w:val="20"/>
        </w:rPr>
        <w:t>The evidence for assessment of this dimension could include the following:</w:t>
      </w:r>
    </w:p>
    <w:p w14:paraId="532AA371" w14:textId="74D3A0E9" w:rsidR="00C06E13" w:rsidRPr="00C06E13" w:rsidRDefault="00030988" w:rsidP="00BE443B">
      <w:pPr>
        <w:numPr>
          <w:ilvl w:val="0"/>
          <w:numId w:val="5"/>
        </w:numPr>
        <w:spacing w:line="240" w:lineRule="auto"/>
        <w:ind w:left="562" w:hanging="562"/>
        <w:rPr>
          <w:sz w:val="20"/>
          <w:szCs w:val="20"/>
        </w:rPr>
      </w:pPr>
      <w:r>
        <w:rPr>
          <w:sz w:val="20"/>
        </w:rPr>
        <w:t xml:space="preserve">Specific articles of the constitution, legislation or rules of procedure that </w:t>
      </w:r>
      <w:r w:rsidR="00D162A2">
        <w:rPr>
          <w:sz w:val="20"/>
        </w:rPr>
        <w:t xml:space="preserve">shape civic space and </w:t>
      </w:r>
      <w:r>
        <w:rPr>
          <w:sz w:val="20"/>
        </w:rPr>
        <w:t xml:space="preserve">regulate public </w:t>
      </w:r>
      <w:proofErr w:type="gramStart"/>
      <w:r>
        <w:rPr>
          <w:sz w:val="20"/>
        </w:rPr>
        <w:t>participation</w:t>
      </w:r>
      <w:proofErr w:type="gramEnd"/>
    </w:p>
    <w:p w14:paraId="658FA3EA" w14:textId="33F4A825" w:rsidR="007A7D4B" w:rsidRPr="00380DC7" w:rsidRDefault="00030988" w:rsidP="00BE443B">
      <w:pPr>
        <w:numPr>
          <w:ilvl w:val="0"/>
          <w:numId w:val="5"/>
        </w:numPr>
        <w:spacing w:line="240" w:lineRule="auto"/>
        <w:ind w:left="562" w:hanging="562"/>
        <w:rPr>
          <w:sz w:val="20"/>
          <w:szCs w:val="20"/>
        </w:rPr>
      </w:pPr>
      <w:r>
        <w:rPr>
          <w:sz w:val="20"/>
        </w:rPr>
        <w:t xml:space="preserve">National, regional or international reports that rate the level of </w:t>
      </w:r>
      <w:proofErr w:type="gramStart"/>
      <w:r>
        <w:rPr>
          <w:sz w:val="20"/>
        </w:rPr>
        <w:t>civic</w:t>
      </w:r>
      <w:r w:rsidR="00902DFD">
        <w:rPr>
          <w:sz w:val="20"/>
        </w:rPr>
        <w:t>-</w:t>
      </w:r>
      <w:r>
        <w:rPr>
          <w:sz w:val="20"/>
        </w:rPr>
        <w:t>space</w:t>
      </w:r>
      <w:proofErr w:type="gramEnd"/>
      <w:r>
        <w:rPr>
          <w:sz w:val="20"/>
        </w:rPr>
        <w:t xml:space="preserve"> openness</w:t>
      </w:r>
    </w:p>
    <w:p w14:paraId="52903148" w14:textId="13922FEE" w:rsidR="007A7D4B" w:rsidRPr="00380DC7" w:rsidRDefault="00030988" w:rsidP="00BE443B">
      <w:pPr>
        <w:numPr>
          <w:ilvl w:val="0"/>
          <w:numId w:val="5"/>
        </w:numPr>
        <w:spacing w:line="240" w:lineRule="auto"/>
        <w:ind w:left="562" w:hanging="562"/>
        <w:rPr>
          <w:sz w:val="20"/>
          <w:szCs w:val="20"/>
        </w:rPr>
      </w:pPr>
      <w:r>
        <w:rPr>
          <w:sz w:val="20"/>
        </w:rPr>
        <w:t>Other rules</w:t>
      </w:r>
      <w:r w:rsidR="00D162A2">
        <w:rPr>
          <w:sz w:val="20"/>
        </w:rPr>
        <w:t xml:space="preserve"> and</w:t>
      </w:r>
      <w:r>
        <w:rPr>
          <w:sz w:val="20"/>
        </w:rPr>
        <w:t xml:space="preserve"> procedures </w:t>
      </w:r>
      <w:r w:rsidR="00C06E13">
        <w:rPr>
          <w:sz w:val="20"/>
        </w:rPr>
        <w:t xml:space="preserve">relating </w:t>
      </w:r>
      <w:r>
        <w:rPr>
          <w:sz w:val="20"/>
        </w:rPr>
        <w:t xml:space="preserve">to public </w:t>
      </w:r>
      <w:proofErr w:type="gramStart"/>
      <w:r>
        <w:rPr>
          <w:sz w:val="20"/>
        </w:rPr>
        <w:t>participation</w:t>
      </w:r>
      <w:proofErr w:type="gramEnd"/>
      <w:r>
        <w:rPr>
          <w:sz w:val="20"/>
        </w:rPr>
        <w:t xml:space="preserve"> </w:t>
      </w:r>
    </w:p>
    <w:p w14:paraId="00BF78DE" w14:textId="77777777" w:rsidR="00EA4368" w:rsidRDefault="00EA4368" w:rsidP="00BE443B">
      <w:pPr>
        <w:spacing w:line="240" w:lineRule="auto"/>
        <w:rPr>
          <w:sz w:val="20"/>
          <w:szCs w:val="20"/>
        </w:rPr>
      </w:pPr>
    </w:p>
    <w:p w14:paraId="4C8C8ABB" w14:textId="03866A53" w:rsidR="007A7D4B" w:rsidRPr="00380DC7" w:rsidRDefault="005A4834" w:rsidP="00BE443B">
      <w:pPr>
        <w:spacing w:line="240" w:lineRule="auto"/>
        <w:rPr>
          <w:sz w:val="20"/>
          <w:szCs w:val="20"/>
        </w:rPr>
      </w:pPr>
      <w:r>
        <w:rPr>
          <w:sz w:val="20"/>
        </w:rPr>
        <w:t>Where</w:t>
      </w:r>
      <w:r w:rsidR="00030988">
        <w:rPr>
          <w:sz w:val="20"/>
        </w:rPr>
        <w:t xml:space="preserve"> relevant, provide additional comments or examples that support the assessment.</w:t>
      </w:r>
    </w:p>
    <w:p w14:paraId="5AAB9955" w14:textId="56A99212" w:rsidR="007A7D4B" w:rsidRPr="00380DC7" w:rsidRDefault="00030988" w:rsidP="00136C6E">
      <w:pPr>
        <w:pStyle w:val="Heading4"/>
      </w:pPr>
      <w:bookmarkStart w:id="3" w:name="_wkkkq32n9zb5"/>
      <w:bookmarkEnd w:id="3"/>
      <w:r>
        <w:lastRenderedPageBreak/>
        <w:t xml:space="preserve">Assessment criterion 1: Legal framework enabling civic </w:t>
      </w:r>
      <w:proofErr w:type="gramStart"/>
      <w:r>
        <w:t>space</w:t>
      </w:r>
      <w:proofErr w:type="gramEnd"/>
    </w:p>
    <w:p w14:paraId="042649D8" w14:textId="3E04E756" w:rsidR="007A7D4B" w:rsidRDefault="00C06E13" w:rsidP="00BE443B">
      <w:pPr>
        <w:spacing w:line="240" w:lineRule="auto"/>
        <w:rPr>
          <w:sz w:val="20"/>
          <w:szCs w:val="20"/>
        </w:rPr>
      </w:pPr>
      <w:r>
        <w:rPr>
          <w:sz w:val="20"/>
        </w:rPr>
        <w:t>A</w:t>
      </w:r>
      <w:r w:rsidR="00030988">
        <w:rPr>
          <w:sz w:val="20"/>
        </w:rPr>
        <w:t xml:space="preserve"> legal framework</w:t>
      </w:r>
      <w:r>
        <w:rPr>
          <w:sz w:val="20"/>
        </w:rPr>
        <w:t xml:space="preserve"> is in place</w:t>
      </w:r>
      <w:r w:rsidR="00030988">
        <w:rPr>
          <w:sz w:val="20"/>
        </w:rPr>
        <w:t xml:space="preserve">, including laws, </w:t>
      </w:r>
      <w:proofErr w:type="gramStart"/>
      <w:r w:rsidR="00030988">
        <w:rPr>
          <w:sz w:val="20"/>
        </w:rPr>
        <w:t>decrees</w:t>
      </w:r>
      <w:proofErr w:type="gramEnd"/>
      <w:r w:rsidR="00030988">
        <w:rPr>
          <w:sz w:val="20"/>
        </w:rPr>
        <w:t xml:space="preserve"> or regulations, that enable</w:t>
      </w:r>
      <w:r>
        <w:rPr>
          <w:sz w:val="20"/>
        </w:rPr>
        <w:t>s</w:t>
      </w:r>
      <w:r w:rsidR="00030988">
        <w:rPr>
          <w:sz w:val="20"/>
        </w:rPr>
        <w:t xml:space="preserve"> and guarantee</w:t>
      </w:r>
      <w:r>
        <w:rPr>
          <w:sz w:val="20"/>
        </w:rPr>
        <w:t>s</w:t>
      </w:r>
      <w:r w:rsidR="00030988">
        <w:rPr>
          <w:sz w:val="20"/>
        </w:rPr>
        <w:t xml:space="preserve"> </w:t>
      </w:r>
      <w:r>
        <w:rPr>
          <w:sz w:val="20"/>
        </w:rPr>
        <w:t xml:space="preserve">the </w:t>
      </w:r>
      <w:r w:rsidR="00030988">
        <w:rPr>
          <w:sz w:val="20"/>
        </w:rPr>
        <w:t>civic space necessary for the functioning of civil society</w:t>
      </w:r>
      <w:r>
        <w:rPr>
          <w:sz w:val="20"/>
        </w:rPr>
        <w:t xml:space="preserve"> and </w:t>
      </w:r>
      <w:r w:rsidR="00030988">
        <w:rPr>
          <w:sz w:val="20"/>
        </w:rPr>
        <w:t xml:space="preserve">for effective participation in all areas, </w:t>
      </w:r>
      <w:r>
        <w:rPr>
          <w:sz w:val="20"/>
        </w:rPr>
        <w:t>including but not limited to</w:t>
      </w:r>
      <w:r w:rsidR="00030988">
        <w:rPr>
          <w:sz w:val="20"/>
        </w:rPr>
        <w:t xml:space="preserve"> parliamentary work. This </w:t>
      </w:r>
      <w:r>
        <w:rPr>
          <w:sz w:val="20"/>
        </w:rPr>
        <w:t xml:space="preserve">framework </w:t>
      </w:r>
      <w:r w:rsidR="00030988">
        <w:rPr>
          <w:sz w:val="20"/>
        </w:rPr>
        <w:t>includes laws and regulations relat</w:t>
      </w:r>
      <w:r>
        <w:rPr>
          <w:sz w:val="20"/>
        </w:rPr>
        <w:t>ing</w:t>
      </w:r>
      <w:r w:rsidR="00030988">
        <w:rPr>
          <w:sz w:val="20"/>
        </w:rPr>
        <w:t xml:space="preserve"> to freedom of speech and expression, freedom of assembly and association, freedom of information</w:t>
      </w:r>
      <w:r>
        <w:rPr>
          <w:sz w:val="20"/>
        </w:rPr>
        <w:t>,</w:t>
      </w:r>
      <w:r w:rsidR="00030988">
        <w:rPr>
          <w:sz w:val="20"/>
        </w:rPr>
        <w:t xml:space="preserve"> and ease of registration and funding of civil society organizations.</w:t>
      </w:r>
    </w:p>
    <w:p w14:paraId="4BEB8F87" w14:textId="77777777" w:rsidR="00BE443B" w:rsidRPr="00380DC7" w:rsidRDefault="00BE443B">
      <w:pPr>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E443B" w:rsidRPr="00BE443B" w14:paraId="11ECBA56" w14:textId="77777777" w:rsidTr="00BE443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6EE0064" w14:textId="77777777" w:rsidR="00BE443B" w:rsidRPr="00BE443B" w:rsidRDefault="00BE443B">
            <w:pPr>
              <w:jc w:val="center"/>
              <w:rPr>
                <w:rFonts w:eastAsia="Calibri"/>
                <w:sz w:val="20"/>
                <w:szCs w:val="20"/>
              </w:rPr>
            </w:pPr>
            <w:r>
              <w:rPr>
                <w:sz w:val="20"/>
              </w:rPr>
              <w:t>Non-existent</w:t>
            </w:r>
          </w:p>
          <w:sdt>
            <w:sdtPr>
              <w:rPr>
                <w:rFonts w:eastAsia="Arimo"/>
                <w:sz w:val="20"/>
                <w:szCs w:val="20"/>
              </w:rPr>
              <w:id w:val="-518314876"/>
              <w14:checkbox>
                <w14:checked w14:val="0"/>
                <w14:checkedState w14:val="2612" w14:font="MS Gothic"/>
                <w14:uncheckedState w14:val="2610" w14:font="MS Gothic"/>
              </w14:checkbox>
            </w:sdtPr>
            <w:sdtEndPr/>
            <w:sdtContent>
              <w:p w14:paraId="1391C7B6" w14:textId="77777777" w:rsidR="00BE443B" w:rsidRPr="00BE443B" w:rsidRDefault="00BE443B">
                <w:pPr>
                  <w:jc w:val="center"/>
                  <w:rPr>
                    <w:rFonts w:eastAsia="Calibri"/>
                    <w:sz w:val="20"/>
                    <w:szCs w:val="20"/>
                  </w:rPr>
                </w:pPr>
                <w:r w:rsidRPr="00BE443B">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A73A40" w14:textId="77777777" w:rsidR="00BE443B" w:rsidRPr="00BE443B" w:rsidRDefault="00BE443B">
            <w:pPr>
              <w:jc w:val="center"/>
              <w:rPr>
                <w:rFonts w:eastAsia="Calibri"/>
                <w:sz w:val="20"/>
                <w:szCs w:val="20"/>
              </w:rPr>
            </w:pPr>
            <w:r>
              <w:rPr>
                <w:sz w:val="20"/>
              </w:rPr>
              <w:t xml:space="preserve">Rudimentary </w:t>
            </w:r>
          </w:p>
          <w:sdt>
            <w:sdtPr>
              <w:rPr>
                <w:rFonts w:eastAsia="Arimo"/>
                <w:sz w:val="20"/>
                <w:szCs w:val="20"/>
              </w:rPr>
              <w:id w:val="1688170754"/>
              <w14:checkbox>
                <w14:checked w14:val="0"/>
                <w14:checkedState w14:val="2612" w14:font="MS Gothic"/>
                <w14:uncheckedState w14:val="2610" w14:font="MS Gothic"/>
              </w14:checkbox>
            </w:sdtPr>
            <w:sdtEndPr/>
            <w:sdtContent>
              <w:p w14:paraId="5C729EBC" w14:textId="77777777" w:rsidR="00BE443B" w:rsidRPr="00BE443B" w:rsidRDefault="00BE443B">
                <w:pPr>
                  <w:jc w:val="center"/>
                  <w:rPr>
                    <w:rFonts w:eastAsia="Calibri"/>
                    <w:sz w:val="20"/>
                    <w:szCs w:val="20"/>
                  </w:rPr>
                </w:pPr>
                <w:r w:rsidRPr="00BE443B">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408B4F" w14:textId="77777777" w:rsidR="00BE443B" w:rsidRPr="00BE443B" w:rsidRDefault="00BE443B">
            <w:pPr>
              <w:jc w:val="center"/>
              <w:rPr>
                <w:rFonts w:eastAsia="Calibri"/>
                <w:sz w:val="20"/>
                <w:szCs w:val="20"/>
              </w:rPr>
            </w:pPr>
            <w:r>
              <w:rPr>
                <w:sz w:val="20"/>
              </w:rPr>
              <w:t>Basic</w:t>
            </w:r>
          </w:p>
          <w:sdt>
            <w:sdtPr>
              <w:rPr>
                <w:rFonts w:eastAsia="Arimo"/>
                <w:sz w:val="20"/>
                <w:szCs w:val="20"/>
              </w:rPr>
              <w:id w:val="-200859757"/>
              <w14:checkbox>
                <w14:checked w14:val="0"/>
                <w14:checkedState w14:val="2612" w14:font="MS Gothic"/>
                <w14:uncheckedState w14:val="2610" w14:font="MS Gothic"/>
              </w14:checkbox>
            </w:sdtPr>
            <w:sdtEndPr/>
            <w:sdtContent>
              <w:p w14:paraId="2B2D1697" w14:textId="77777777" w:rsidR="00BE443B" w:rsidRPr="00BE443B" w:rsidRDefault="00BE443B">
                <w:pPr>
                  <w:jc w:val="center"/>
                  <w:rPr>
                    <w:rFonts w:eastAsia="Calibri"/>
                    <w:sz w:val="20"/>
                    <w:szCs w:val="20"/>
                  </w:rPr>
                </w:pPr>
                <w:r w:rsidRPr="00BE443B">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C85DDE" w14:textId="77777777" w:rsidR="00BE443B" w:rsidRPr="00BE443B" w:rsidRDefault="00BE443B">
            <w:pPr>
              <w:jc w:val="center"/>
              <w:rPr>
                <w:rFonts w:eastAsia="Calibri"/>
                <w:sz w:val="20"/>
                <w:szCs w:val="20"/>
              </w:rPr>
            </w:pPr>
            <w:r>
              <w:rPr>
                <w:sz w:val="20"/>
              </w:rPr>
              <w:t>Good</w:t>
            </w:r>
          </w:p>
          <w:sdt>
            <w:sdtPr>
              <w:rPr>
                <w:rFonts w:eastAsia="Arimo"/>
                <w:sz w:val="20"/>
                <w:szCs w:val="20"/>
              </w:rPr>
              <w:id w:val="1549180275"/>
              <w14:checkbox>
                <w14:checked w14:val="0"/>
                <w14:checkedState w14:val="2612" w14:font="MS Gothic"/>
                <w14:uncheckedState w14:val="2610" w14:font="MS Gothic"/>
              </w14:checkbox>
            </w:sdtPr>
            <w:sdtEndPr/>
            <w:sdtContent>
              <w:p w14:paraId="50C604A2" w14:textId="77777777" w:rsidR="00BE443B" w:rsidRPr="00BE443B" w:rsidRDefault="00BE443B">
                <w:pPr>
                  <w:jc w:val="center"/>
                  <w:rPr>
                    <w:rFonts w:eastAsia="Calibri"/>
                    <w:sz w:val="20"/>
                    <w:szCs w:val="20"/>
                  </w:rPr>
                </w:pPr>
                <w:r w:rsidRPr="00BE443B">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ACA5C6" w14:textId="77777777" w:rsidR="00BE443B" w:rsidRPr="00BE443B" w:rsidRDefault="00BE443B">
            <w:pPr>
              <w:jc w:val="center"/>
              <w:rPr>
                <w:rFonts w:eastAsia="Calibri"/>
                <w:sz w:val="20"/>
                <w:szCs w:val="20"/>
              </w:rPr>
            </w:pPr>
            <w:r>
              <w:rPr>
                <w:sz w:val="20"/>
              </w:rPr>
              <w:t>Very good</w:t>
            </w:r>
          </w:p>
          <w:sdt>
            <w:sdtPr>
              <w:rPr>
                <w:rFonts w:eastAsia="Arimo"/>
                <w:sz w:val="20"/>
                <w:szCs w:val="20"/>
              </w:rPr>
              <w:id w:val="-1325666986"/>
              <w14:checkbox>
                <w14:checked w14:val="0"/>
                <w14:checkedState w14:val="2612" w14:font="MS Gothic"/>
                <w14:uncheckedState w14:val="2610" w14:font="MS Gothic"/>
              </w14:checkbox>
            </w:sdtPr>
            <w:sdtEndPr/>
            <w:sdtContent>
              <w:p w14:paraId="15607E7D" w14:textId="77777777" w:rsidR="00BE443B" w:rsidRPr="00BE443B" w:rsidRDefault="00BE443B">
                <w:pPr>
                  <w:jc w:val="center"/>
                  <w:rPr>
                    <w:rFonts w:eastAsia="Calibri"/>
                    <w:sz w:val="20"/>
                    <w:szCs w:val="20"/>
                  </w:rPr>
                </w:pPr>
                <w:r w:rsidRPr="00BE443B">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1E147EB" w14:textId="77777777" w:rsidR="00BE443B" w:rsidRPr="00BE443B" w:rsidRDefault="00BE443B">
            <w:pPr>
              <w:jc w:val="center"/>
              <w:rPr>
                <w:rFonts w:eastAsia="Calibri"/>
                <w:sz w:val="20"/>
                <w:szCs w:val="20"/>
              </w:rPr>
            </w:pPr>
            <w:r>
              <w:rPr>
                <w:sz w:val="20"/>
              </w:rPr>
              <w:t>Excellent</w:t>
            </w:r>
          </w:p>
          <w:sdt>
            <w:sdtPr>
              <w:rPr>
                <w:rFonts w:eastAsia="Arimo"/>
                <w:sz w:val="20"/>
                <w:szCs w:val="20"/>
              </w:rPr>
              <w:id w:val="-273402835"/>
              <w14:checkbox>
                <w14:checked w14:val="0"/>
                <w14:checkedState w14:val="2612" w14:font="MS Gothic"/>
                <w14:uncheckedState w14:val="2610" w14:font="MS Gothic"/>
              </w14:checkbox>
            </w:sdtPr>
            <w:sdtEndPr/>
            <w:sdtContent>
              <w:p w14:paraId="2A90D94A" w14:textId="77777777" w:rsidR="00BE443B" w:rsidRPr="00BE443B" w:rsidRDefault="00BE443B">
                <w:pPr>
                  <w:jc w:val="center"/>
                  <w:rPr>
                    <w:rFonts w:eastAsia="Calibri"/>
                    <w:sz w:val="20"/>
                    <w:szCs w:val="20"/>
                  </w:rPr>
                </w:pPr>
                <w:r w:rsidRPr="00BE443B">
                  <w:rPr>
                    <w:rFonts w:ascii="Segoe UI Symbol" w:eastAsia="Arimo" w:hAnsi="Segoe UI Symbol" w:cs="Segoe UI Symbol"/>
                    <w:sz w:val="20"/>
                    <w:szCs w:val="20"/>
                  </w:rPr>
                  <w:t>☐</w:t>
                </w:r>
              </w:p>
            </w:sdtContent>
          </w:sdt>
        </w:tc>
      </w:tr>
      <w:tr w:rsidR="00BE443B" w:rsidRPr="00BE443B" w14:paraId="024F49A6" w14:textId="77777777" w:rsidTr="00BE443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B52F89" w14:textId="77777777" w:rsidR="00BE443B" w:rsidRPr="00BE443B" w:rsidRDefault="00BE443B">
            <w:pPr>
              <w:rPr>
                <w:rFonts w:eastAsia="Calibri"/>
                <w:color w:val="005F9A"/>
                <w:sz w:val="20"/>
                <w:szCs w:val="20"/>
              </w:rPr>
            </w:pPr>
            <w:r>
              <w:rPr>
                <w:color w:val="005F9A"/>
                <w:sz w:val="20"/>
              </w:rPr>
              <w:t>Evidence for this assessment criterion:</w:t>
            </w:r>
          </w:p>
          <w:p w14:paraId="5EED80BF" w14:textId="77777777" w:rsidR="00BE443B" w:rsidRPr="00BE443B" w:rsidRDefault="00BE443B">
            <w:pPr>
              <w:rPr>
                <w:rFonts w:eastAsia="Calibri"/>
                <w:color w:val="0000FF"/>
                <w:sz w:val="20"/>
                <w:szCs w:val="20"/>
              </w:rPr>
            </w:pPr>
          </w:p>
          <w:p w14:paraId="58710164" w14:textId="77777777" w:rsidR="00BE443B" w:rsidRPr="00BE443B" w:rsidRDefault="00BE443B">
            <w:pPr>
              <w:rPr>
                <w:rFonts w:eastAsia="Calibri"/>
                <w:color w:val="0000FF"/>
                <w:sz w:val="20"/>
                <w:szCs w:val="20"/>
              </w:rPr>
            </w:pPr>
          </w:p>
        </w:tc>
      </w:tr>
    </w:tbl>
    <w:p w14:paraId="36C9237F" w14:textId="1508A6D4" w:rsidR="007A7D4B" w:rsidRPr="00380DC7" w:rsidRDefault="00030988" w:rsidP="00136C6E">
      <w:pPr>
        <w:pStyle w:val="Heading4"/>
      </w:pPr>
      <w:bookmarkStart w:id="4" w:name="_rix5tsw1wv12"/>
      <w:bookmarkEnd w:id="4"/>
      <w:r>
        <w:t>Assessment criterion 2: Legal framework for public participation</w:t>
      </w:r>
      <w:r w:rsidR="00D162A2">
        <w:t xml:space="preserve"> in the work of parliament</w:t>
      </w:r>
    </w:p>
    <w:p w14:paraId="5D638FD6" w14:textId="7826404D" w:rsidR="007A7D4B" w:rsidRPr="00380DC7" w:rsidRDefault="00C06E13" w:rsidP="00BE443B">
      <w:pPr>
        <w:spacing w:line="240" w:lineRule="auto"/>
        <w:rPr>
          <w:sz w:val="20"/>
          <w:szCs w:val="20"/>
        </w:rPr>
      </w:pPr>
      <w:r>
        <w:rPr>
          <w:sz w:val="20"/>
        </w:rPr>
        <w:t>Provisions in the c</w:t>
      </w:r>
      <w:r w:rsidR="00030988">
        <w:rPr>
          <w:sz w:val="20"/>
        </w:rPr>
        <w:t>onstitution, l</w:t>
      </w:r>
      <w:r>
        <w:rPr>
          <w:sz w:val="20"/>
        </w:rPr>
        <w:t>aws</w:t>
      </w:r>
      <w:r w:rsidR="00030988">
        <w:rPr>
          <w:sz w:val="20"/>
        </w:rPr>
        <w:t xml:space="preserve"> or rules of procedure establish the right of people to participate in parliamentary </w:t>
      </w:r>
      <w:r>
        <w:rPr>
          <w:sz w:val="20"/>
        </w:rPr>
        <w:t xml:space="preserve">business, such as </w:t>
      </w:r>
      <w:r w:rsidR="00030988">
        <w:rPr>
          <w:sz w:val="20"/>
        </w:rPr>
        <w:t xml:space="preserve">by bringing issues to the attention of parliament, contributing evidence to legislative and oversight processes, </w:t>
      </w:r>
      <w:r>
        <w:rPr>
          <w:sz w:val="20"/>
        </w:rPr>
        <w:t xml:space="preserve">and </w:t>
      </w:r>
      <w:r w:rsidR="00030988">
        <w:rPr>
          <w:sz w:val="20"/>
        </w:rPr>
        <w:t xml:space="preserve">commenting on </w:t>
      </w:r>
      <w:r>
        <w:rPr>
          <w:sz w:val="20"/>
        </w:rPr>
        <w:t>proposals for laws.</w:t>
      </w:r>
      <w:r w:rsidR="00030988">
        <w:rPr>
          <w:sz w:val="20"/>
        </w:rPr>
        <w:t xml:space="preserve"> The </w:t>
      </w:r>
      <w:r>
        <w:rPr>
          <w:sz w:val="20"/>
        </w:rPr>
        <w:t xml:space="preserve">related </w:t>
      </w:r>
      <w:r w:rsidR="00030988">
        <w:rPr>
          <w:sz w:val="20"/>
        </w:rPr>
        <w:t>rules and procedures cover all aspects of public participation, both online and on</w:t>
      </w:r>
      <w:r w:rsidR="007174A5">
        <w:rPr>
          <w:sz w:val="20"/>
        </w:rPr>
        <w:t>-</w:t>
      </w:r>
      <w:r w:rsidR="00030988">
        <w:rPr>
          <w:sz w:val="20"/>
        </w:rPr>
        <w:t xml:space="preserve">site. </w:t>
      </w:r>
    </w:p>
    <w:p w14:paraId="4F91E746" w14:textId="77777777" w:rsidR="007A7D4B" w:rsidRPr="00380DC7" w:rsidRDefault="007A7D4B">
      <w:pPr>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E443B" w:rsidRPr="00BE443B" w14:paraId="09FF0636" w14:textId="77777777" w:rsidTr="00520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B623CCD" w14:textId="77777777" w:rsidR="00BE443B" w:rsidRPr="00BE443B" w:rsidRDefault="00BE443B" w:rsidP="00520551">
            <w:pPr>
              <w:jc w:val="center"/>
              <w:rPr>
                <w:rFonts w:eastAsia="Calibri"/>
                <w:sz w:val="20"/>
                <w:szCs w:val="20"/>
              </w:rPr>
            </w:pPr>
            <w:r>
              <w:rPr>
                <w:sz w:val="20"/>
              </w:rPr>
              <w:t>Non-existent</w:t>
            </w:r>
          </w:p>
          <w:sdt>
            <w:sdtPr>
              <w:rPr>
                <w:rFonts w:eastAsia="Arimo"/>
                <w:sz w:val="20"/>
                <w:szCs w:val="20"/>
              </w:rPr>
              <w:id w:val="1722171836"/>
              <w14:checkbox>
                <w14:checked w14:val="0"/>
                <w14:checkedState w14:val="2612" w14:font="MS Gothic"/>
                <w14:uncheckedState w14:val="2610" w14:font="MS Gothic"/>
              </w14:checkbox>
            </w:sdtPr>
            <w:sdtEndPr/>
            <w:sdtContent>
              <w:p w14:paraId="72C34C2D" w14:textId="77777777" w:rsidR="00BE443B" w:rsidRPr="00BE443B" w:rsidRDefault="00BE443B" w:rsidP="00520551">
                <w:pPr>
                  <w:jc w:val="center"/>
                  <w:rPr>
                    <w:rFonts w:eastAsia="Calibri"/>
                    <w:sz w:val="20"/>
                    <w:szCs w:val="20"/>
                  </w:rPr>
                </w:pPr>
                <w:r w:rsidRPr="00BE443B">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4E5408" w14:textId="77777777" w:rsidR="00BE443B" w:rsidRPr="00BE443B" w:rsidRDefault="00BE443B" w:rsidP="00520551">
            <w:pPr>
              <w:jc w:val="center"/>
              <w:rPr>
                <w:rFonts w:eastAsia="Calibri"/>
                <w:sz w:val="20"/>
                <w:szCs w:val="20"/>
              </w:rPr>
            </w:pPr>
            <w:r>
              <w:rPr>
                <w:sz w:val="20"/>
              </w:rPr>
              <w:t xml:space="preserve">Rudimentary </w:t>
            </w:r>
          </w:p>
          <w:sdt>
            <w:sdtPr>
              <w:rPr>
                <w:rFonts w:eastAsia="Arimo"/>
                <w:sz w:val="20"/>
                <w:szCs w:val="20"/>
              </w:rPr>
              <w:id w:val="484590861"/>
              <w14:checkbox>
                <w14:checked w14:val="0"/>
                <w14:checkedState w14:val="2612" w14:font="MS Gothic"/>
                <w14:uncheckedState w14:val="2610" w14:font="MS Gothic"/>
              </w14:checkbox>
            </w:sdtPr>
            <w:sdtEndPr/>
            <w:sdtContent>
              <w:p w14:paraId="5CFA9025" w14:textId="77777777" w:rsidR="00BE443B" w:rsidRPr="00BE443B" w:rsidRDefault="00BE443B" w:rsidP="00520551">
                <w:pPr>
                  <w:jc w:val="center"/>
                  <w:rPr>
                    <w:rFonts w:eastAsia="Calibri"/>
                    <w:sz w:val="20"/>
                    <w:szCs w:val="20"/>
                  </w:rPr>
                </w:pPr>
                <w:r w:rsidRPr="00BE443B">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78C219" w14:textId="77777777" w:rsidR="00BE443B" w:rsidRPr="00BE443B" w:rsidRDefault="00BE443B" w:rsidP="00520551">
            <w:pPr>
              <w:jc w:val="center"/>
              <w:rPr>
                <w:rFonts w:eastAsia="Calibri"/>
                <w:sz w:val="20"/>
                <w:szCs w:val="20"/>
              </w:rPr>
            </w:pPr>
            <w:r>
              <w:rPr>
                <w:sz w:val="20"/>
              </w:rPr>
              <w:t>Basic</w:t>
            </w:r>
          </w:p>
          <w:sdt>
            <w:sdtPr>
              <w:rPr>
                <w:rFonts w:eastAsia="Arimo"/>
                <w:sz w:val="20"/>
                <w:szCs w:val="20"/>
              </w:rPr>
              <w:id w:val="1256483122"/>
              <w14:checkbox>
                <w14:checked w14:val="0"/>
                <w14:checkedState w14:val="2612" w14:font="MS Gothic"/>
                <w14:uncheckedState w14:val="2610" w14:font="MS Gothic"/>
              </w14:checkbox>
            </w:sdtPr>
            <w:sdtEndPr/>
            <w:sdtContent>
              <w:p w14:paraId="1ABAE6B7" w14:textId="77777777" w:rsidR="00BE443B" w:rsidRPr="00BE443B" w:rsidRDefault="00BE443B" w:rsidP="00520551">
                <w:pPr>
                  <w:jc w:val="center"/>
                  <w:rPr>
                    <w:rFonts w:eastAsia="Calibri"/>
                    <w:sz w:val="20"/>
                    <w:szCs w:val="20"/>
                  </w:rPr>
                </w:pPr>
                <w:r w:rsidRPr="00BE443B">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31C5B6" w14:textId="77777777" w:rsidR="00BE443B" w:rsidRPr="00BE443B" w:rsidRDefault="00BE443B" w:rsidP="00520551">
            <w:pPr>
              <w:jc w:val="center"/>
              <w:rPr>
                <w:rFonts w:eastAsia="Calibri"/>
                <w:sz w:val="20"/>
                <w:szCs w:val="20"/>
              </w:rPr>
            </w:pPr>
            <w:r>
              <w:rPr>
                <w:sz w:val="20"/>
              </w:rPr>
              <w:t>Good</w:t>
            </w:r>
          </w:p>
          <w:sdt>
            <w:sdtPr>
              <w:rPr>
                <w:rFonts w:eastAsia="Arimo"/>
                <w:sz w:val="20"/>
                <w:szCs w:val="20"/>
              </w:rPr>
              <w:id w:val="238605962"/>
              <w14:checkbox>
                <w14:checked w14:val="0"/>
                <w14:checkedState w14:val="2612" w14:font="MS Gothic"/>
                <w14:uncheckedState w14:val="2610" w14:font="MS Gothic"/>
              </w14:checkbox>
            </w:sdtPr>
            <w:sdtEndPr/>
            <w:sdtContent>
              <w:p w14:paraId="037A98AF" w14:textId="77777777" w:rsidR="00BE443B" w:rsidRPr="00BE443B" w:rsidRDefault="00BE443B" w:rsidP="00520551">
                <w:pPr>
                  <w:jc w:val="center"/>
                  <w:rPr>
                    <w:rFonts w:eastAsia="Calibri"/>
                    <w:sz w:val="20"/>
                    <w:szCs w:val="20"/>
                  </w:rPr>
                </w:pPr>
                <w:r w:rsidRPr="00BE443B">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402295" w14:textId="77777777" w:rsidR="00BE443B" w:rsidRPr="00BE443B" w:rsidRDefault="00BE443B" w:rsidP="00520551">
            <w:pPr>
              <w:jc w:val="center"/>
              <w:rPr>
                <w:rFonts w:eastAsia="Calibri"/>
                <w:sz w:val="20"/>
                <w:szCs w:val="20"/>
              </w:rPr>
            </w:pPr>
            <w:r>
              <w:rPr>
                <w:sz w:val="20"/>
              </w:rPr>
              <w:t>Very good</w:t>
            </w:r>
          </w:p>
          <w:sdt>
            <w:sdtPr>
              <w:rPr>
                <w:rFonts w:eastAsia="Arimo"/>
                <w:sz w:val="20"/>
                <w:szCs w:val="20"/>
              </w:rPr>
              <w:id w:val="-820653099"/>
              <w14:checkbox>
                <w14:checked w14:val="0"/>
                <w14:checkedState w14:val="2612" w14:font="MS Gothic"/>
                <w14:uncheckedState w14:val="2610" w14:font="MS Gothic"/>
              </w14:checkbox>
            </w:sdtPr>
            <w:sdtEndPr/>
            <w:sdtContent>
              <w:p w14:paraId="647B59A9" w14:textId="77777777" w:rsidR="00BE443B" w:rsidRPr="00BE443B" w:rsidRDefault="00BE443B" w:rsidP="00520551">
                <w:pPr>
                  <w:jc w:val="center"/>
                  <w:rPr>
                    <w:rFonts w:eastAsia="Calibri"/>
                    <w:sz w:val="20"/>
                    <w:szCs w:val="20"/>
                  </w:rPr>
                </w:pPr>
                <w:r w:rsidRPr="00BE443B">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B2B96B0" w14:textId="77777777" w:rsidR="00BE443B" w:rsidRPr="00BE443B" w:rsidRDefault="00BE443B" w:rsidP="00520551">
            <w:pPr>
              <w:jc w:val="center"/>
              <w:rPr>
                <w:rFonts w:eastAsia="Calibri"/>
                <w:sz w:val="20"/>
                <w:szCs w:val="20"/>
              </w:rPr>
            </w:pPr>
            <w:r>
              <w:rPr>
                <w:sz w:val="20"/>
              </w:rPr>
              <w:t>Excellent</w:t>
            </w:r>
          </w:p>
          <w:sdt>
            <w:sdtPr>
              <w:rPr>
                <w:rFonts w:eastAsia="Arimo"/>
                <w:sz w:val="20"/>
                <w:szCs w:val="20"/>
              </w:rPr>
              <w:id w:val="171923636"/>
              <w14:checkbox>
                <w14:checked w14:val="0"/>
                <w14:checkedState w14:val="2612" w14:font="MS Gothic"/>
                <w14:uncheckedState w14:val="2610" w14:font="MS Gothic"/>
              </w14:checkbox>
            </w:sdtPr>
            <w:sdtEndPr/>
            <w:sdtContent>
              <w:p w14:paraId="0240C62B" w14:textId="77777777" w:rsidR="00BE443B" w:rsidRPr="00BE443B" w:rsidRDefault="00BE443B" w:rsidP="00520551">
                <w:pPr>
                  <w:jc w:val="center"/>
                  <w:rPr>
                    <w:rFonts w:eastAsia="Calibri"/>
                    <w:sz w:val="20"/>
                    <w:szCs w:val="20"/>
                  </w:rPr>
                </w:pPr>
                <w:r w:rsidRPr="00BE443B">
                  <w:rPr>
                    <w:rFonts w:ascii="Segoe UI Symbol" w:eastAsia="Arimo" w:hAnsi="Segoe UI Symbol" w:cs="Segoe UI Symbol"/>
                    <w:sz w:val="20"/>
                    <w:szCs w:val="20"/>
                  </w:rPr>
                  <w:t>☐</w:t>
                </w:r>
              </w:p>
            </w:sdtContent>
          </w:sdt>
        </w:tc>
      </w:tr>
      <w:tr w:rsidR="00BE443B" w:rsidRPr="00BE443B" w14:paraId="6E79CCD2" w14:textId="77777777" w:rsidTr="0052055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9E0E01" w14:textId="77777777" w:rsidR="00BE443B" w:rsidRPr="00BE443B" w:rsidRDefault="00BE443B" w:rsidP="00520551">
            <w:pPr>
              <w:rPr>
                <w:rFonts w:eastAsia="Calibri"/>
                <w:color w:val="005F9A"/>
                <w:sz w:val="20"/>
                <w:szCs w:val="20"/>
              </w:rPr>
            </w:pPr>
            <w:r>
              <w:rPr>
                <w:color w:val="005F9A"/>
                <w:sz w:val="20"/>
              </w:rPr>
              <w:t>Evidence for this assessment criterion:</w:t>
            </w:r>
          </w:p>
          <w:p w14:paraId="258BF24E" w14:textId="77777777" w:rsidR="00BE443B" w:rsidRPr="00BE443B" w:rsidRDefault="00BE443B" w:rsidP="00520551">
            <w:pPr>
              <w:rPr>
                <w:rFonts w:eastAsia="Calibri"/>
                <w:color w:val="0000FF"/>
                <w:sz w:val="20"/>
                <w:szCs w:val="20"/>
              </w:rPr>
            </w:pPr>
          </w:p>
          <w:p w14:paraId="04DB5C8A" w14:textId="77777777" w:rsidR="00BE443B" w:rsidRPr="00BE443B" w:rsidRDefault="00BE443B" w:rsidP="00520551">
            <w:pPr>
              <w:rPr>
                <w:rFonts w:eastAsia="Calibri"/>
                <w:color w:val="0000FF"/>
                <w:sz w:val="20"/>
                <w:szCs w:val="20"/>
              </w:rPr>
            </w:pPr>
          </w:p>
        </w:tc>
      </w:tr>
    </w:tbl>
    <w:p w14:paraId="51B37CB3" w14:textId="77777777" w:rsidR="007A7D4B" w:rsidRPr="00380DC7" w:rsidRDefault="00030988" w:rsidP="00136C6E">
      <w:pPr>
        <w:pStyle w:val="Heading4"/>
      </w:pPr>
      <w:bookmarkStart w:id="5" w:name="_nqaifc15s9ns"/>
      <w:bookmarkEnd w:id="5"/>
      <w:r>
        <w:t>Assessment criterion 3: Protection of privacy</w:t>
      </w:r>
    </w:p>
    <w:p w14:paraId="6DC3D08B" w14:textId="4020F4D6" w:rsidR="007A7D4B" w:rsidRPr="00380DC7" w:rsidRDefault="00030988" w:rsidP="00BE443B">
      <w:pPr>
        <w:spacing w:line="240" w:lineRule="auto"/>
        <w:rPr>
          <w:sz w:val="20"/>
          <w:szCs w:val="20"/>
        </w:rPr>
      </w:pPr>
      <w:r>
        <w:rPr>
          <w:sz w:val="20"/>
        </w:rPr>
        <w:t xml:space="preserve">The </w:t>
      </w:r>
      <w:r w:rsidR="001E6296">
        <w:rPr>
          <w:sz w:val="20"/>
        </w:rPr>
        <w:t xml:space="preserve">legal </w:t>
      </w:r>
      <w:r>
        <w:rPr>
          <w:sz w:val="20"/>
        </w:rPr>
        <w:t xml:space="preserve">framework for public participation </w:t>
      </w:r>
      <w:r w:rsidR="00D162A2">
        <w:rPr>
          <w:sz w:val="20"/>
        </w:rPr>
        <w:t xml:space="preserve">in the work of parliament </w:t>
      </w:r>
      <w:r w:rsidR="00DE5BEC">
        <w:rPr>
          <w:sz w:val="20"/>
        </w:rPr>
        <w:t>contains provisions that protect the</w:t>
      </w:r>
      <w:r>
        <w:rPr>
          <w:sz w:val="20"/>
        </w:rPr>
        <w:t xml:space="preserve"> privacy of members of the </w:t>
      </w:r>
      <w:proofErr w:type="gramStart"/>
      <w:r>
        <w:rPr>
          <w:sz w:val="20"/>
        </w:rPr>
        <w:t>public, and</w:t>
      </w:r>
      <w:proofErr w:type="gramEnd"/>
      <w:r>
        <w:rPr>
          <w:sz w:val="20"/>
        </w:rPr>
        <w:t xml:space="preserve"> includes clear rules and procedures to ensure </w:t>
      </w:r>
      <w:r w:rsidR="00DE5BEC">
        <w:rPr>
          <w:sz w:val="20"/>
        </w:rPr>
        <w:t xml:space="preserve">that the </w:t>
      </w:r>
      <w:r>
        <w:rPr>
          <w:sz w:val="20"/>
        </w:rPr>
        <w:t>right to privacy i</w:t>
      </w:r>
      <w:r w:rsidR="00DE5BEC">
        <w:rPr>
          <w:sz w:val="20"/>
        </w:rPr>
        <w:t>s implemented i</w:t>
      </w:r>
      <w:r>
        <w:rPr>
          <w:sz w:val="20"/>
        </w:rPr>
        <w:t>n practice.</w:t>
      </w:r>
    </w:p>
    <w:p w14:paraId="0C244575" w14:textId="77777777" w:rsidR="007A7D4B" w:rsidRPr="00380DC7" w:rsidRDefault="007A7D4B">
      <w:pPr>
        <w:rPr>
          <w:sz w:val="20"/>
          <w:szCs w:val="20"/>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BE443B" w:rsidRPr="00BE443B" w14:paraId="279B1DB6" w14:textId="77777777" w:rsidTr="00BE443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6894EC7" w14:textId="77777777" w:rsidR="00BE443B" w:rsidRPr="00BE443B" w:rsidRDefault="00BE443B" w:rsidP="00520551">
            <w:pPr>
              <w:jc w:val="center"/>
              <w:rPr>
                <w:rFonts w:eastAsia="Calibri"/>
                <w:sz w:val="20"/>
                <w:szCs w:val="20"/>
              </w:rPr>
            </w:pPr>
            <w:r>
              <w:rPr>
                <w:sz w:val="20"/>
              </w:rPr>
              <w:t>Non-existent</w:t>
            </w:r>
          </w:p>
          <w:sdt>
            <w:sdtPr>
              <w:rPr>
                <w:rFonts w:eastAsia="Arimo"/>
                <w:sz w:val="20"/>
                <w:szCs w:val="20"/>
              </w:rPr>
              <w:id w:val="-1191379156"/>
              <w14:checkbox>
                <w14:checked w14:val="0"/>
                <w14:checkedState w14:val="2612" w14:font="MS Gothic"/>
                <w14:uncheckedState w14:val="2610" w14:font="MS Gothic"/>
              </w14:checkbox>
            </w:sdtPr>
            <w:sdtEndPr/>
            <w:sdtContent>
              <w:p w14:paraId="3CA007C1" w14:textId="77777777" w:rsidR="00BE443B" w:rsidRPr="00BE443B" w:rsidRDefault="00BE443B" w:rsidP="00520551">
                <w:pPr>
                  <w:jc w:val="center"/>
                  <w:rPr>
                    <w:rFonts w:eastAsia="Calibri"/>
                    <w:sz w:val="20"/>
                    <w:szCs w:val="20"/>
                  </w:rPr>
                </w:pPr>
                <w:r w:rsidRPr="00BE443B">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563A52" w14:textId="77777777" w:rsidR="00BE443B" w:rsidRPr="00BE443B" w:rsidRDefault="00BE443B" w:rsidP="00520551">
            <w:pPr>
              <w:jc w:val="center"/>
              <w:rPr>
                <w:rFonts w:eastAsia="Calibri"/>
                <w:sz w:val="20"/>
                <w:szCs w:val="20"/>
              </w:rPr>
            </w:pPr>
            <w:r>
              <w:rPr>
                <w:sz w:val="20"/>
              </w:rPr>
              <w:t xml:space="preserve">Rudimentary </w:t>
            </w:r>
          </w:p>
          <w:sdt>
            <w:sdtPr>
              <w:rPr>
                <w:rFonts w:eastAsia="Arimo"/>
                <w:sz w:val="20"/>
                <w:szCs w:val="20"/>
              </w:rPr>
              <w:id w:val="-1522769044"/>
              <w14:checkbox>
                <w14:checked w14:val="0"/>
                <w14:checkedState w14:val="2612" w14:font="MS Gothic"/>
                <w14:uncheckedState w14:val="2610" w14:font="MS Gothic"/>
              </w14:checkbox>
            </w:sdtPr>
            <w:sdtEndPr/>
            <w:sdtContent>
              <w:p w14:paraId="2108595F" w14:textId="77777777" w:rsidR="00BE443B" w:rsidRPr="00BE443B" w:rsidRDefault="00BE443B" w:rsidP="00520551">
                <w:pPr>
                  <w:jc w:val="center"/>
                  <w:rPr>
                    <w:rFonts w:eastAsia="Calibri"/>
                    <w:sz w:val="20"/>
                    <w:szCs w:val="20"/>
                  </w:rPr>
                </w:pPr>
                <w:r w:rsidRPr="00BE443B">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595578" w14:textId="77777777" w:rsidR="00BE443B" w:rsidRPr="00BE443B" w:rsidRDefault="00BE443B" w:rsidP="00520551">
            <w:pPr>
              <w:jc w:val="center"/>
              <w:rPr>
                <w:rFonts w:eastAsia="Calibri"/>
                <w:sz w:val="20"/>
                <w:szCs w:val="20"/>
              </w:rPr>
            </w:pPr>
            <w:r>
              <w:rPr>
                <w:sz w:val="20"/>
              </w:rPr>
              <w:t>Basic</w:t>
            </w:r>
          </w:p>
          <w:sdt>
            <w:sdtPr>
              <w:rPr>
                <w:rFonts w:eastAsia="Arimo"/>
                <w:sz w:val="20"/>
                <w:szCs w:val="20"/>
              </w:rPr>
              <w:id w:val="-2021691468"/>
              <w14:checkbox>
                <w14:checked w14:val="0"/>
                <w14:checkedState w14:val="2612" w14:font="MS Gothic"/>
                <w14:uncheckedState w14:val="2610" w14:font="MS Gothic"/>
              </w14:checkbox>
            </w:sdtPr>
            <w:sdtEndPr/>
            <w:sdtContent>
              <w:p w14:paraId="7630D321" w14:textId="77777777" w:rsidR="00BE443B" w:rsidRPr="00BE443B" w:rsidRDefault="00BE443B" w:rsidP="00520551">
                <w:pPr>
                  <w:jc w:val="center"/>
                  <w:rPr>
                    <w:rFonts w:eastAsia="Calibri"/>
                    <w:sz w:val="20"/>
                    <w:szCs w:val="20"/>
                  </w:rPr>
                </w:pPr>
                <w:r w:rsidRPr="00BE443B">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208077" w14:textId="77777777" w:rsidR="00BE443B" w:rsidRPr="00BE443B" w:rsidRDefault="00BE443B" w:rsidP="00520551">
            <w:pPr>
              <w:jc w:val="center"/>
              <w:rPr>
                <w:rFonts w:eastAsia="Calibri"/>
                <w:sz w:val="20"/>
                <w:szCs w:val="20"/>
              </w:rPr>
            </w:pPr>
            <w:r>
              <w:rPr>
                <w:sz w:val="20"/>
              </w:rPr>
              <w:t>Good</w:t>
            </w:r>
          </w:p>
          <w:sdt>
            <w:sdtPr>
              <w:rPr>
                <w:rFonts w:eastAsia="Arimo"/>
                <w:sz w:val="20"/>
                <w:szCs w:val="20"/>
              </w:rPr>
              <w:id w:val="-1318655867"/>
              <w14:checkbox>
                <w14:checked w14:val="0"/>
                <w14:checkedState w14:val="2612" w14:font="MS Gothic"/>
                <w14:uncheckedState w14:val="2610" w14:font="MS Gothic"/>
              </w14:checkbox>
            </w:sdtPr>
            <w:sdtEndPr/>
            <w:sdtContent>
              <w:p w14:paraId="5BED2939" w14:textId="77777777" w:rsidR="00BE443B" w:rsidRPr="00BE443B" w:rsidRDefault="00BE443B" w:rsidP="00520551">
                <w:pPr>
                  <w:jc w:val="center"/>
                  <w:rPr>
                    <w:rFonts w:eastAsia="Calibri"/>
                    <w:sz w:val="20"/>
                    <w:szCs w:val="20"/>
                  </w:rPr>
                </w:pPr>
                <w:r w:rsidRPr="00BE443B">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53614D" w14:textId="77777777" w:rsidR="00BE443B" w:rsidRPr="00BE443B" w:rsidRDefault="00BE443B" w:rsidP="00520551">
            <w:pPr>
              <w:jc w:val="center"/>
              <w:rPr>
                <w:rFonts w:eastAsia="Calibri"/>
                <w:sz w:val="20"/>
                <w:szCs w:val="20"/>
              </w:rPr>
            </w:pPr>
            <w:r>
              <w:rPr>
                <w:sz w:val="20"/>
              </w:rPr>
              <w:t>Very good</w:t>
            </w:r>
          </w:p>
          <w:sdt>
            <w:sdtPr>
              <w:rPr>
                <w:rFonts w:eastAsia="Arimo"/>
                <w:sz w:val="20"/>
                <w:szCs w:val="20"/>
              </w:rPr>
              <w:id w:val="-1866048081"/>
              <w14:checkbox>
                <w14:checked w14:val="0"/>
                <w14:checkedState w14:val="2612" w14:font="MS Gothic"/>
                <w14:uncheckedState w14:val="2610" w14:font="MS Gothic"/>
              </w14:checkbox>
            </w:sdtPr>
            <w:sdtEndPr/>
            <w:sdtContent>
              <w:p w14:paraId="7DC88888" w14:textId="77777777" w:rsidR="00BE443B" w:rsidRPr="00BE443B" w:rsidRDefault="00BE443B" w:rsidP="00520551">
                <w:pPr>
                  <w:jc w:val="center"/>
                  <w:rPr>
                    <w:rFonts w:eastAsia="Calibri"/>
                    <w:sz w:val="20"/>
                    <w:szCs w:val="20"/>
                  </w:rPr>
                </w:pPr>
                <w:r w:rsidRPr="00BE443B">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12AC724" w14:textId="77777777" w:rsidR="00BE443B" w:rsidRPr="00BE443B" w:rsidRDefault="00BE443B" w:rsidP="00520551">
            <w:pPr>
              <w:jc w:val="center"/>
              <w:rPr>
                <w:rFonts w:eastAsia="Calibri"/>
                <w:sz w:val="20"/>
                <w:szCs w:val="20"/>
              </w:rPr>
            </w:pPr>
            <w:r>
              <w:rPr>
                <w:sz w:val="20"/>
              </w:rPr>
              <w:t>Excellent</w:t>
            </w:r>
          </w:p>
          <w:sdt>
            <w:sdtPr>
              <w:rPr>
                <w:rFonts w:eastAsia="Arimo"/>
                <w:sz w:val="20"/>
                <w:szCs w:val="20"/>
              </w:rPr>
              <w:id w:val="1384915911"/>
              <w14:checkbox>
                <w14:checked w14:val="0"/>
                <w14:checkedState w14:val="2612" w14:font="MS Gothic"/>
                <w14:uncheckedState w14:val="2610" w14:font="MS Gothic"/>
              </w14:checkbox>
            </w:sdtPr>
            <w:sdtEndPr/>
            <w:sdtContent>
              <w:p w14:paraId="31265BC3" w14:textId="77777777" w:rsidR="00BE443B" w:rsidRPr="00BE443B" w:rsidRDefault="00BE443B" w:rsidP="00520551">
                <w:pPr>
                  <w:jc w:val="center"/>
                  <w:rPr>
                    <w:rFonts w:eastAsia="Calibri"/>
                    <w:sz w:val="20"/>
                    <w:szCs w:val="20"/>
                  </w:rPr>
                </w:pPr>
                <w:r w:rsidRPr="00BE443B">
                  <w:rPr>
                    <w:rFonts w:ascii="Segoe UI Symbol" w:eastAsia="Arimo" w:hAnsi="Segoe UI Symbol" w:cs="Segoe UI Symbol"/>
                    <w:sz w:val="20"/>
                    <w:szCs w:val="20"/>
                  </w:rPr>
                  <w:t>☐</w:t>
                </w:r>
              </w:p>
            </w:sdtContent>
          </w:sdt>
        </w:tc>
      </w:tr>
      <w:tr w:rsidR="00BE443B" w:rsidRPr="00BE443B" w14:paraId="5DFB3932" w14:textId="77777777" w:rsidTr="00BE443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CF88BE" w14:textId="77777777" w:rsidR="00BE443B" w:rsidRPr="00BE443B" w:rsidRDefault="00BE443B" w:rsidP="00520551">
            <w:pPr>
              <w:rPr>
                <w:rFonts w:eastAsia="Calibri"/>
                <w:color w:val="005F9A"/>
                <w:sz w:val="20"/>
                <w:szCs w:val="20"/>
              </w:rPr>
            </w:pPr>
            <w:r>
              <w:rPr>
                <w:color w:val="005F9A"/>
                <w:sz w:val="20"/>
              </w:rPr>
              <w:t>Evidence for this assessment criterion:</w:t>
            </w:r>
          </w:p>
          <w:p w14:paraId="28BD884A" w14:textId="77777777" w:rsidR="00BE443B" w:rsidRPr="00BE443B" w:rsidRDefault="00BE443B" w:rsidP="00520551">
            <w:pPr>
              <w:rPr>
                <w:rFonts w:eastAsia="Calibri"/>
                <w:color w:val="0000FF"/>
                <w:sz w:val="20"/>
                <w:szCs w:val="20"/>
              </w:rPr>
            </w:pPr>
          </w:p>
          <w:p w14:paraId="0A223941" w14:textId="77777777" w:rsidR="00BE443B" w:rsidRPr="00BE443B" w:rsidRDefault="00BE443B" w:rsidP="00520551">
            <w:pPr>
              <w:rPr>
                <w:rFonts w:eastAsia="Calibri"/>
                <w:color w:val="0000FF"/>
                <w:sz w:val="20"/>
                <w:szCs w:val="20"/>
              </w:rPr>
            </w:pPr>
          </w:p>
        </w:tc>
      </w:tr>
    </w:tbl>
    <w:p w14:paraId="4170EA0D" w14:textId="56FBFFA1" w:rsidR="00BE443B" w:rsidRDefault="00BE443B" w:rsidP="00BE443B">
      <w:pPr>
        <w:pStyle w:val="section-title"/>
      </w:pPr>
      <w:bookmarkStart w:id="6" w:name="_2et92p0"/>
      <w:bookmarkEnd w:id="6"/>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BE443B" w14:paraId="77482F91" w14:textId="77777777" w:rsidTr="00BE443B">
        <w:trPr>
          <w:trHeight w:val="1440"/>
        </w:trPr>
        <w:tc>
          <w:tcPr>
            <w:tcW w:w="5000" w:type="pct"/>
            <w:tcBorders>
              <w:top w:val="single" w:sz="4" w:space="0" w:color="auto"/>
              <w:left w:val="single" w:sz="4" w:space="0" w:color="auto"/>
              <w:bottom w:val="single" w:sz="4" w:space="0" w:color="auto"/>
              <w:right w:val="single" w:sz="4" w:space="0" w:color="auto"/>
            </w:tcBorders>
          </w:tcPr>
          <w:p w14:paraId="23CFD5C2" w14:textId="337AB6A3" w:rsidR="00BE443B" w:rsidRPr="00DC1D74" w:rsidRDefault="00DC1D74" w:rsidP="00DC1D74">
            <w:pPr>
              <w:rPr>
                <w:sz w:val="20"/>
                <w:szCs w:val="20"/>
              </w:rPr>
            </w:pPr>
            <w:r>
              <w:rPr>
                <w:i/>
                <w:sz w:val="20"/>
                <w:shd w:val="clear" w:color="auto" w:fill="FFFFFF"/>
              </w:rPr>
              <w:t xml:space="preserve">Use this space to note down recommendations and ideas for strengthening </w:t>
            </w:r>
            <w:r w:rsidR="00D162A2">
              <w:rPr>
                <w:i/>
                <w:sz w:val="20"/>
                <w:shd w:val="clear" w:color="auto" w:fill="FFFFFF"/>
              </w:rPr>
              <w:t>rules and practice in this area.</w:t>
            </w:r>
          </w:p>
        </w:tc>
      </w:tr>
    </w:tbl>
    <w:p w14:paraId="2755C171" w14:textId="05BD62BC" w:rsidR="00BE443B" w:rsidRPr="00BE443B" w:rsidRDefault="00BE443B" w:rsidP="00BE443B">
      <w:pPr>
        <w:pStyle w:val="section-title"/>
      </w:pPr>
      <w:bookmarkStart w:id="7" w:name="_heading=h.ef0fk8xus11h"/>
      <w:bookmarkEnd w:id="7"/>
      <w:r>
        <w:lastRenderedPageBreak/>
        <w:t xml:space="preserve">Sources </w:t>
      </w:r>
      <w:r w:rsidR="007F48AB">
        <w:t xml:space="preserve">and </w:t>
      </w:r>
      <w:r>
        <w:t>further reading</w:t>
      </w:r>
    </w:p>
    <w:p w14:paraId="1FEAD7F5" w14:textId="7C0F6841" w:rsidR="007A7D4B" w:rsidRPr="00380DC7" w:rsidRDefault="00030988" w:rsidP="00BE443B">
      <w:pPr>
        <w:numPr>
          <w:ilvl w:val="0"/>
          <w:numId w:val="2"/>
        </w:numPr>
        <w:spacing w:line="240" w:lineRule="auto"/>
        <w:ind w:left="562" w:hanging="562"/>
        <w:rPr>
          <w:sz w:val="20"/>
          <w:szCs w:val="20"/>
        </w:rPr>
      </w:pPr>
      <w:bookmarkStart w:id="8" w:name="_Hlk147308430"/>
      <w:r>
        <w:rPr>
          <w:sz w:val="20"/>
        </w:rPr>
        <w:t>David Beetham,</w:t>
      </w:r>
      <w:hyperlink r:id="rId10">
        <w:r>
          <w:rPr>
            <w:sz w:val="20"/>
          </w:rPr>
          <w:t xml:space="preserve"> </w:t>
        </w:r>
      </w:hyperlink>
      <w:hyperlink r:id="rId11">
        <w:r>
          <w:rPr>
            <w:i/>
            <w:color w:val="0563C1"/>
            <w:sz w:val="20"/>
            <w:u w:val="single"/>
          </w:rPr>
          <w:t>Parliament and democracy in the twenty-first century:</w:t>
        </w:r>
      </w:hyperlink>
      <w:hyperlink r:id="rId12">
        <w:r>
          <w:rPr>
            <w:i/>
            <w:color w:val="0563C1"/>
            <w:sz w:val="20"/>
            <w:u w:val="single"/>
          </w:rPr>
          <w:t xml:space="preserve"> A guide to good practice</w:t>
        </w:r>
      </w:hyperlink>
      <w:r>
        <w:rPr>
          <w:sz w:val="20"/>
        </w:rPr>
        <w:t xml:space="preserve"> (2006).</w:t>
      </w:r>
    </w:p>
    <w:p w14:paraId="0F6B858F" w14:textId="4C794B96" w:rsidR="007A7D4B" w:rsidRPr="00380DC7" w:rsidRDefault="00030988" w:rsidP="00BE443B">
      <w:pPr>
        <w:numPr>
          <w:ilvl w:val="0"/>
          <w:numId w:val="2"/>
        </w:numPr>
        <w:spacing w:line="240" w:lineRule="auto"/>
        <w:ind w:left="562" w:hanging="562"/>
        <w:rPr>
          <w:sz w:val="20"/>
          <w:szCs w:val="20"/>
        </w:rPr>
      </w:pPr>
      <w:r>
        <w:rPr>
          <w:sz w:val="20"/>
        </w:rPr>
        <w:t>Commonwealth Parliamentary Association (CPA),</w:t>
      </w:r>
      <w:hyperlink r:id="rId13">
        <w:r>
          <w:rPr>
            <w:sz w:val="20"/>
          </w:rPr>
          <w:t xml:space="preserve"> </w:t>
        </w:r>
      </w:hyperlink>
      <w:hyperlink r:id="rId14">
        <w:r>
          <w:rPr>
            <w:i/>
            <w:color w:val="1155CC"/>
            <w:sz w:val="20"/>
            <w:u w:val="single"/>
          </w:rPr>
          <w:t>Recommended Benchmarks for Democratic Legislators</w:t>
        </w:r>
      </w:hyperlink>
      <w:r w:rsidR="00F27BCE">
        <w:rPr>
          <w:sz w:val="20"/>
        </w:rPr>
        <w:t xml:space="preserve">, revised edition </w:t>
      </w:r>
      <w:r>
        <w:rPr>
          <w:sz w:val="20"/>
        </w:rPr>
        <w:t>(2018).</w:t>
      </w:r>
    </w:p>
    <w:p w14:paraId="2AEF713A" w14:textId="41F67611" w:rsidR="007A7D4B" w:rsidRPr="00380DC7" w:rsidRDefault="00030988" w:rsidP="00BE443B">
      <w:pPr>
        <w:numPr>
          <w:ilvl w:val="0"/>
          <w:numId w:val="2"/>
        </w:numPr>
        <w:spacing w:line="240" w:lineRule="auto"/>
        <w:ind w:left="562" w:hanging="562"/>
        <w:rPr>
          <w:sz w:val="20"/>
          <w:szCs w:val="20"/>
        </w:rPr>
      </w:pPr>
      <w:r>
        <w:rPr>
          <w:sz w:val="20"/>
        </w:rPr>
        <w:t xml:space="preserve">National Democratic Institute (NDI), </w:t>
      </w:r>
      <w:hyperlink r:id="rId15">
        <w:r>
          <w:rPr>
            <w:i/>
            <w:color w:val="1155CC"/>
            <w:sz w:val="20"/>
            <w:u w:val="single"/>
          </w:rPr>
          <w:t>Toward the Development of International Standards for Democratic Legislatures</w:t>
        </w:r>
      </w:hyperlink>
      <w:r>
        <w:rPr>
          <w:sz w:val="20"/>
        </w:rPr>
        <w:t xml:space="preserve"> (2007).</w:t>
      </w:r>
    </w:p>
    <w:p w14:paraId="3ED79357" w14:textId="77777777" w:rsidR="007A7D4B" w:rsidRPr="00380DC7" w:rsidRDefault="007A7D4B" w:rsidP="00E5613A">
      <w:bookmarkStart w:id="9" w:name="_74t1bz22e3d"/>
      <w:bookmarkEnd w:id="9"/>
    </w:p>
    <w:p w14:paraId="6F3C3F34" w14:textId="77777777" w:rsidR="007A7D4B" w:rsidRPr="00380DC7" w:rsidRDefault="007A7D4B" w:rsidP="00E5613A">
      <w:bookmarkStart w:id="10" w:name="_eztvsjrqlowo"/>
      <w:bookmarkEnd w:id="10"/>
    </w:p>
    <w:p w14:paraId="75519C7B" w14:textId="77777777" w:rsidR="007A7D4B" w:rsidRPr="00380DC7" w:rsidRDefault="007A7D4B" w:rsidP="00E5613A">
      <w:bookmarkStart w:id="11" w:name="_95hzjdkufxcn"/>
      <w:bookmarkEnd w:id="11"/>
      <w:bookmarkEnd w:id="8"/>
    </w:p>
    <w:p w14:paraId="2A920576" w14:textId="77777777" w:rsidR="007A7D4B" w:rsidRPr="00380DC7" w:rsidRDefault="007A7D4B">
      <w:pPr>
        <w:spacing w:line="240" w:lineRule="auto"/>
        <w:rPr>
          <w:rFonts w:eastAsia="Calibri"/>
          <w:sz w:val="24"/>
          <w:szCs w:val="24"/>
        </w:rPr>
      </w:pPr>
      <w:bookmarkStart w:id="12" w:name="_q5roikh92vb4"/>
      <w:bookmarkEnd w:id="12"/>
    </w:p>
    <w:p w14:paraId="3EE83FA2" w14:textId="77777777" w:rsidR="007A7D4B" w:rsidRPr="00380DC7" w:rsidRDefault="007A7D4B">
      <w:pPr>
        <w:spacing w:line="240" w:lineRule="auto"/>
        <w:rPr>
          <w:rFonts w:eastAsia="Calibri"/>
          <w:sz w:val="24"/>
          <w:szCs w:val="24"/>
        </w:rPr>
      </w:pPr>
    </w:p>
    <w:p w14:paraId="6EDDF36E" w14:textId="77777777" w:rsidR="00EA4368" w:rsidRPr="002D57EC" w:rsidRDefault="00030988" w:rsidP="005C2D81">
      <w:pPr>
        <w:pStyle w:val="Heading3"/>
      </w:pPr>
      <w:bookmarkStart w:id="13" w:name="_o0vqi7njkbfb"/>
      <w:bookmarkEnd w:id="13"/>
      <w:r>
        <w:lastRenderedPageBreak/>
        <w:t xml:space="preserve">Dimension 6.1.2: Institutional capacity for public participation </w:t>
      </w:r>
    </w:p>
    <w:tbl>
      <w:tblPr>
        <w:tblStyle w:val="TableGrid"/>
        <w:tblW w:w="0" w:type="auto"/>
        <w:shd w:val="clear" w:color="auto" w:fill="EEEEEE"/>
        <w:tblLook w:val="04A0" w:firstRow="1" w:lastRow="0" w:firstColumn="1" w:lastColumn="0" w:noHBand="0" w:noVBand="1"/>
      </w:tblPr>
      <w:tblGrid>
        <w:gridCol w:w="9120"/>
      </w:tblGrid>
      <w:tr w:rsidR="00EA4368" w14:paraId="2386F573" w14:textId="77777777" w:rsidTr="00520551">
        <w:tc>
          <w:tcPr>
            <w:tcW w:w="9350" w:type="dxa"/>
            <w:shd w:val="clear" w:color="auto" w:fill="EEEEEE"/>
          </w:tcPr>
          <w:p w14:paraId="53D0AB09" w14:textId="271C540D" w:rsidR="00EA4368" w:rsidRPr="00DD2EB3" w:rsidRDefault="00EA4368" w:rsidP="00520551">
            <w:pPr>
              <w:rPr>
                <w:rFonts w:eastAsia="Arial" w:cs="Arial"/>
                <w:sz w:val="20"/>
                <w:szCs w:val="20"/>
              </w:rPr>
            </w:pPr>
            <w:r>
              <w:rPr>
                <w:sz w:val="20"/>
              </w:rPr>
              <w:t>This dimension is part of:</w:t>
            </w:r>
          </w:p>
          <w:p w14:paraId="073E5DA7" w14:textId="77777777" w:rsidR="00EA4368" w:rsidRPr="00DD2EB3" w:rsidRDefault="00EA4368" w:rsidP="00877354">
            <w:pPr>
              <w:pStyle w:val="ListParagraph"/>
            </w:pPr>
            <w:r>
              <w:t>Indicator 6.1: Parliamentary environment for public participation</w:t>
            </w:r>
          </w:p>
          <w:p w14:paraId="2DA16406" w14:textId="764375B1" w:rsidR="00EA4368" w:rsidRPr="00DD2EB3" w:rsidRDefault="00E36917" w:rsidP="00E36917">
            <w:pPr>
              <w:pStyle w:val="ListParagraph"/>
              <w:rPr>
                <w:sz w:val="24"/>
              </w:rPr>
            </w:pPr>
            <w:r w:rsidRPr="00B31823">
              <w:t xml:space="preserve">Target </w:t>
            </w:r>
            <w:r w:rsidR="00EA4368">
              <w:t>6: Participatory parliament</w:t>
            </w:r>
          </w:p>
        </w:tc>
      </w:tr>
    </w:tbl>
    <w:p w14:paraId="0B830A42" w14:textId="77777777" w:rsidR="007A7D4B" w:rsidRPr="00BE443B" w:rsidRDefault="00030988" w:rsidP="00BE443B">
      <w:pPr>
        <w:pStyle w:val="section-title"/>
      </w:pPr>
      <w:r>
        <w:t>About this dimension</w:t>
      </w:r>
    </w:p>
    <w:p w14:paraId="3D2D3269" w14:textId="2FF4BB12" w:rsidR="007A7D4B" w:rsidRPr="00380DC7" w:rsidRDefault="00030988" w:rsidP="00BE443B">
      <w:pPr>
        <w:spacing w:line="240" w:lineRule="auto"/>
        <w:rPr>
          <w:sz w:val="20"/>
          <w:szCs w:val="20"/>
        </w:rPr>
      </w:pPr>
      <w:r>
        <w:rPr>
          <w:sz w:val="20"/>
        </w:rPr>
        <w:t xml:space="preserve">In addition to a sound </w:t>
      </w:r>
      <w:r w:rsidR="001E6296">
        <w:rPr>
          <w:sz w:val="20"/>
        </w:rPr>
        <w:t xml:space="preserve">legal </w:t>
      </w:r>
      <w:r>
        <w:rPr>
          <w:sz w:val="20"/>
        </w:rPr>
        <w:t>framework for public participation</w:t>
      </w:r>
      <w:r w:rsidR="00832B67">
        <w:rPr>
          <w:sz w:val="20"/>
        </w:rPr>
        <w:t>,</w:t>
      </w:r>
      <w:r>
        <w:rPr>
          <w:sz w:val="20"/>
        </w:rPr>
        <w:t xml:space="preserve"> it is necessary for parliament to develop the practical mechanisms and tools </w:t>
      </w:r>
      <w:r w:rsidR="00832B67">
        <w:rPr>
          <w:sz w:val="20"/>
        </w:rPr>
        <w:t xml:space="preserve">that </w:t>
      </w:r>
      <w:r>
        <w:rPr>
          <w:sz w:val="20"/>
        </w:rPr>
        <w:t xml:space="preserve">allow </w:t>
      </w:r>
      <w:r w:rsidR="00832B67">
        <w:rPr>
          <w:sz w:val="20"/>
        </w:rPr>
        <w:t xml:space="preserve">this </w:t>
      </w:r>
      <w:r>
        <w:rPr>
          <w:sz w:val="20"/>
        </w:rPr>
        <w:t xml:space="preserve">participation to take place. </w:t>
      </w:r>
    </w:p>
    <w:p w14:paraId="09F3B4F9" w14:textId="77777777" w:rsidR="007A7D4B" w:rsidRPr="00380DC7" w:rsidRDefault="007A7D4B" w:rsidP="00BE443B">
      <w:pPr>
        <w:spacing w:line="240" w:lineRule="auto"/>
        <w:rPr>
          <w:sz w:val="20"/>
          <w:szCs w:val="20"/>
        </w:rPr>
      </w:pPr>
    </w:p>
    <w:p w14:paraId="4AA95569" w14:textId="603E596B" w:rsidR="001B50A7" w:rsidRDefault="00030988" w:rsidP="00183507">
      <w:pPr>
        <w:spacing w:line="240" w:lineRule="auto"/>
        <w:rPr>
          <w:sz w:val="20"/>
        </w:rPr>
      </w:pPr>
      <w:r>
        <w:rPr>
          <w:sz w:val="20"/>
        </w:rPr>
        <w:t xml:space="preserve">The </w:t>
      </w:r>
      <w:r w:rsidR="00832B67">
        <w:rPr>
          <w:sz w:val="20"/>
        </w:rPr>
        <w:t>“</w:t>
      </w:r>
      <w:r>
        <w:rPr>
          <w:sz w:val="20"/>
        </w:rPr>
        <w:t>mechanisms</w:t>
      </w:r>
      <w:r w:rsidR="00832B67">
        <w:rPr>
          <w:sz w:val="20"/>
        </w:rPr>
        <w:t>”</w:t>
      </w:r>
      <w:r>
        <w:rPr>
          <w:sz w:val="20"/>
        </w:rPr>
        <w:t xml:space="preserve"> of public participation </w:t>
      </w:r>
      <w:r w:rsidR="00832B67">
        <w:rPr>
          <w:sz w:val="20"/>
        </w:rPr>
        <w:t>refer to</w:t>
      </w:r>
      <w:r>
        <w:rPr>
          <w:sz w:val="20"/>
        </w:rPr>
        <w:t xml:space="preserve"> systems that</w:t>
      </w:r>
      <w:r w:rsidR="00832B67">
        <w:rPr>
          <w:sz w:val="20"/>
        </w:rPr>
        <w:t>,</w:t>
      </w:r>
      <w:r>
        <w:rPr>
          <w:sz w:val="20"/>
        </w:rPr>
        <w:t xml:space="preserve"> together</w:t>
      </w:r>
      <w:r w:rsidR="00832B67">
        <w:rPr>
          <w:sz w:val="20"/>
        </w:rPr>
        <w:t>,</w:t>
      </w:r>
      <w:r>
        <w:rPr>
          <w:sz w:val="20"/>
        </w:rPr>
        <w:t xml:space="preserve"> provide ways to organi</w:t>
      </w:r>
      <w:r w:rsidR="007174A5">
        <w:rPr>
          <w:sz w:val="20"/>
        </w:rPr>
        <w:t>z</w:t>
      </w:r>
      <w:r>
        <w:rPr>
          <w:sz w:val="20"/>
        </w:rPr>
        <w:t xml:space="preserve">e, coordinate and channel public inputs so that they can be </w:t>
      </w:r>
      <w:proofErr w:type="gramStart"/>
      <w:r>
        <w:rPr>
          <w:sz w:val="20"/>
        </w:rPr>
        <w:t>taken into account</w:t>
      </w:r>
      <w:proofErr w:type="gramEnd"/>
      <w:r>
        <w:rPr>
          <w:sz w:val="20"/>
        </w:rPr>
        <w:t xml:space="preserve"> in all aspects of parliamentary processes.</w:t>
      </w:r>
    </w:p>
    <w:p w14:paraId="49AEE575" w14:textId="77777777" w:rsidR="001B50A7" w:rsidRDefault="001B50A7" w:rsidP="00BE443B">
      <w:pPr>
        <w:spacing w:line="240" w:lineRule="auto"/>
        <w:rPr>
          <w:sz w:val="20"/>
        </w:rPr>
      </w:pPr>
    </w:p>
    <w:p w14:paraId="30DD4265" w14:textId="6EA93ED3" w:rsidR="00183507" w:rsidRDefault="001B50A7" w:rsidP="00BE443B">
      <w:pPr>
        <w:spacing w:line="240" w:lineRule="auto"/>
        <w:rPr>
          <w:sz w:val="20"/>
        </w:rPr>
      </w:pPr>
      <w:r>
        <w:rPr>
          <w:sz w:val="20"/>
        </w:rPr>
        <w:t xml:space="preserve">The “tools” of public </w:t>
      </w:r>
      <w:r w:rsidR="00C2004B">
        <w:rPr>
          <w:sz w:val="20"/>
        </w:rPr>
        <w:t>participation</w:t>
      </w:r>
      <w:r>
        <w:rPr>
          <w:sz w:val="20"/>
        </w:rPr>
        <w:t>, meanwhile, are specific instruments – online and on-site – that support parliament in successfully operating these mechanisms. They</w:t>
      </w:r>
      <w:r w:rsidR="00030988">
        <w:rPr>
          <w:sz w:val="20"/>
        </w:rPr>
        <w:t xml:space="preserve"> need to be user-friendly and adapted to the needs of different groups within the community</w:t>
      </w:r>
      <w:r w:rsidR="00183507">
        <w:rPr>
          <w:sz w:val="20"/>
        </w:rPr>
        <w:t xml:space="preserve">. </w:t>
      </w:r>
    </w:p>
    <w:p w14:paraId="2B3F907D" w14:textId="77777777" w:rsidR="00183507" w:rsidRDefault="00183507" w:rsidP="00BE443B">
      <w:pPr>
        <w:spacing w:line="240" w:lineRule="auto"/>
        <w:rPr>
          <w:sz w:val="20"/>
        </w:rPr>
      </w:pPr>
    </w:p>
    <w:p w14:paraId="01FDAEC1" w14:textId="2A3774F1" w:rsidR="00CE0C3B" w:rsidRDefault="00183507" w:rsidP="00BE443B">
      <w:pPr>
        <w:spacing w:line="240" w:lineRule="auto"/>
        <w:rPr>
          <w:sz w:val="20"/>
        </w:rPr>
      </w:pPr>
      <w:r>
        <w:rPr>
          <w:sz w:val="20"/>
        </w:rPr>
        <w:t xml:space="preserve">Parliament is attentive to facilitating participation from all of society, </w:t>
      </w:r>
      <w:r w:rsidR="001B50A7">
        <w:rPr>
          <w:sz w:val="20"/>
        </w:rPr>
        <w:t>including catering to</w:t>
      </w:r>
      <w:r w:rsidR="00030988">
        <w:rPr>
          <w:sz w:val="20"/>
        </w:rPr>
        <w:t xml:space="preserve"> </w:t>
      </w:r>
      <w:r>
        <w:rPr>
          <w:sz w:val="20"/>
        </w:rPr>
        <w:t xml:space="preserve">groups </w:t>
      </w:r>
      <w:r w:rsidR="00030988">
        <w:rPr>
          <w:sz w:val="20"/>
        </w:rPr>
        <w:t xml:space="preserve">that may </w:t>
      </w:r>
      <w:r>
        <w:rPr>
          <w:sz w:val="20"/>
        </w:rPr>
        <w:t>face obstacles to engagement</w:t>
      </w:r>
      <w:r w:rsidR="00CE0C3B">
        <w:rPr>
          <w:sz w:val="20"/>
        </w:rPr>
        <w:t>,</w:t>
      </w:r>
      <w:r w:rsidR="00030988">
        <w:rPr>
          <w:sz w:val="20"/>
        </w:rPr>
        <w:t xml:space="preserve"> </w:t>
      </w:r>
      <w:r w:rsidR="00CE0C3B">
        <w:rPr>
          <w:sz w:val="20"/>
        </w:rPr>
        <w:t xml:space="preserve">such </w:t>
      </w:r>
      <w:r w:rsidR="00C41867">
        <w:rPr>
          <w:sz w:val="20"/>
        </w:rPr>
        <w:t xml:space="preserve">as women, youth, persons with disabilities, </w:t>
      </w:r>
      <w:r>
        <w:rPr>
          <w:sz w:val="20"/>
        </w:rPr>
        <w:t>disadvantaged groups</w:t>
      </w:r>
      <w:r w:rsidR="007F48AB">
        <w:rPr>
          <w:sz w:val="20"/>
        </w:rPr>
        <w:t>,</w:t>
      </w:r>
      <w:r>
        <w:rPr>
          <w:sz w:val="20"/>
        </w:rPr>
        <w:t xml:space="preserve"> </w:t>
      </w:r>
      <w:r w:rsidR="00C41867">
        <w:rPr>
          <w:sz w:val="20"/>
        </w:rPr>
        <w:t>and groups in remote areas or with limited digital access</w:t>
      </w:r>
      <w:r w:rsidR="00030988">
        <w:rPr>
          <w:sz w:val="20"/>
        </w:rPr>
        <w:t>.</w:t>
      </w:r>
    </w:p>
    <w:p w14:paraId="21EA8A47" w14:textId="77777777" w:rsidR="00CE0C3B" w:rsidRDefault="00CE0C3B" w:rsidP="00BE443B">
      <w:pPr>
        <w:spacing w:line="240" w:lineRule="auto"/>
        <w:rPr>
          <w:sz w:val="20"/>
        </w:rPr>
      </w:pPr>
    </w:p>
    <w:p w14:paraId="7B9435EC" w14:textId="225B6B17" w:rsidR="007A7D4B" w:rsidRPr="00380DC7" w:rsidRDefault="00CE0C3B" w:rsidP="00BE443B">
      <w:pPr>
        <w:spacing w:line="240" w:lineRule="auto"/>
        <w:rPr>
          <w:color w:val="333333"/>
          <w:sz w:val="24"/>
          <w:szCs w:val="24"/>
          <w:highlight w:val="white"/>
        </w:rPr>
      </w:pPr>
      <w:r>
        <w:rPr>
          <w:sz w:val="20"/>
        </w:rPr>
        <w:t>P</w:t>
      </w:r>
      <w:r w:rsidR="00030988">
        <w:rPr>
          <w:sz w:val="20"/>
        </w:rPr>
        <w:t>arliament</w:t>
      </w:r>
      <w:r>
        <w:rPr>
          <w:sz w:val="20"/>
        </w:rPr>
        <w:t xml:space="preserve"> can assess the effectiveness and comprehensiveness of these mechanisms</w:t>
      </w:r>
      <w:r w:rsidR="00906C62">
        <w:rPr>
          <w:sz w:val="20"/>
        </w:rPr>
        <w:t xml:space="preserve"> and tools</w:t>
      </w:r>
      <w:r>
        <w:rPr>
          <w:sz w:val="20"/>
        </w:rPr>
        <w:t xml:space="preserve"> </w:t>
      </w:r>
      <w:r w:rsidR="007F4AE3">
        <w:rPr>
          <w:sz w:val="20"/>
        </w:rPr>
        <w:t>by</w:t>
      </w:r>
      <w:r w:rsidR="00030988">
        <w:rPr>
          <w:sz w:val="20"/>
        </w:rPr>
        <w:t xml:space="preserve"> monitoring public participation </w:t>
      </w:r>
      <w:r>
        <w:rPr>
          <w:sz w:val="20"/>
        </w:rPr>
        <w:t xml:space="preserve">and </w:t>
      </w:r>
      <w:r w:rsidR="00183507">
        <w:rPr>
          <w:sz w:val="20"/>
        </w:rPr>
        <w:t xml:space="preserve">tracking </w:t>
      </w:r>
      <w:r>
        <w:rPr>
          <w:sz w:val="20"/>
        </w:rPr>
        <w:t>the</w:t>
      </w:r>
      <w:r w:rsidR="00030988">
        <w:rPr>
          <w:sz w:val="20"/>
        </w:rPr>
        <w:t xml:space="preserve"> impact </w:t>
      </w:r>
      <w:r>
        <w:rPr>
          <w:sz w:val="20"/>
        </w:rPr>
        <w:t xml:space="preserve">of </w:t>
      </w:r>
      <w:r w:rsidR="00030988">
        <w:rPr>
          <w:sz w:val="20"/>
        </w:rPr>
        <w:t xml:space="preserve">public </w:t>
      </w:r>
      <w:r w:rsidR="00183507">
        <w:rPr>
          <w:sz w:val="20"/>
        </w:rPr>
        <w:t xml:space="preserve">input </w:t>
      </w:r>
      <w:r w:rsidR="00030988">
        <w:rPr>
          <w:sz w:val="20"/>
        </w:rPr>
        <w:t>on the outputs of parliamentary work.</w:t>
      </w:r>
    </w:p>
    <w:p w14:paraId="7FE59B09" w14:textId="77777777" w:rsidR="007A7D4B" w:rsidRPr="00BE443B" w:rsidRDefault="00E5613A" w:rsidP="00BE443B">
      <w:pPr>
        <w:pStyle w:val="section-title"/>
      </w:pPr>
      <w:r>
        <w:t>Aspiring goal</w:t>
      </w:r>
    </w:p>
    <w:tbl>
      <w:tblPr>
        <w:tblStyle w:val="a4"/>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7A7D4B" w:rsidRPr="00380DC7" w14:paraId="7BF9E939" w14:textId="77777777" w:rsidTr="00BE443B">
        <w:trPr>
          <w:trHeight w:val="4662"/>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2679B5A9" w14:textId="1484BF84" w:rsidR="007A7D4B" w:rsidRPr="00BE443B" w:rsidRDefault="00E5613A" w:rsidP="00BE443B">
            <w:pPr>
              <w:spacing w:line="240" w:lineRule="auto"/>
              <w:rPr>
                <w:i/>
                <w:sz w:val="20"/>
                <w:szCs w:val="20"/>
              </w:rPr>
            </w:pPr>
            <w:r>
              <w:rPr>
                <w:i/>
                <w:sz w:val="20"/>
              </w:rPr>
              <w:t xml:space="preserve">Based on a global comparative analysis, an aspiring goal for parliaments </w:t>
            </w:r>
            <w:proofErr w:type="gramStart"/>
            <w:r>
              <w:rPr>
                <w:i/>
                <w:sz w:val="20"/>
              </w:rPr>
              <w:t>in the area of</w:t>
            </w:r>
            <w:proofErr w:type="gramEnd"/>
            <w:r>
              <w:rPr>
                <w:i/>
                <w:sz w:val="20"/>
              </w:rPr>
              <w:t xml:space="preserve"> </w:t>
            </w:r>
            <w:r w:rsidR="00FC6979">
              <w:rPr>
                <w:i/>
                <w:sz w:val="20"/>
              </w:rPr>
              <w:t>“</w:t>
            </w:r>
            <w:r>
              <w:rPr>
                <w:i/>
                <w:sz w:val="20"/>
              </w:rPr>
              <w:t>institutional capacity for public participation</w:t>
            </w:r>
            <w:r w:rsidR="00FC6979">
              <w:rPr>
                <w:i/>
                <w:sz w:val="20"/>
              </w:rPr>
              <w:t>”</w:t>
            </w:r>
            <w:r>
              <w:rPr>
                <w:b/>
                <w:i/>
                <w:sz w:val="20"/>
              </w:rPr>
              <w:t xml:space="preserve"> </w:t>
            </w:r>
            <w:r>
              <w:rPr>
                <w:i/>
                <w:sz w:val="20"/>
              </w:rPr>
              <w:t>is as follows:</w:t>
            </w:r>
          </w:p>
          <w:p w14:paraId="263AE4F2" w14:textId="77777777" w:rsidR="007A7D4B" w:rsidRPr="00BE443B" w:rsidRDefault="007A7D4B" w:rsidP="00BE443B">
            <w:pPr>
              <w:spacing w:line="240" w:lineRule="auto"/>
              <w:rPr>
                <w:sz w:val="20"/>
                <w:szCs w:val="20"/>
              </w:rPr>
            </w:pPr>
          </w:p>
          <w:p w14:paraId="3C6DD581" w14:textId="77777777" w:rsidR="007A7D4B" w:rsidRPr="00BE443B" w:rsidRDefault="00030988" w:rsidP="00BE443B">
            <w:pPr>
              <w:spacing w:after="160" w:line="240" w:lineRule="auto"/>
              <w:rPr>
                <w:sz w:val="20"/>
                <w:szCs w:val="20"/>
              </w:rPr>
            </w:pPr>
            <w:r>
              <w:rPr>
                <w:sz w:val="20"/>
              </w:rPr>
              <w:t>Parliament has a documented strategy or plan for developing public participation, as well as policies and practices for its implementation.</w:t>
            </w:r>
          </w:p>
          <w:p w14:paraId="5CA49B8A" w14:textId="269AEFAC" w:rsidR="007A7D4B" w:rsidRPr="00BE443B" w:rsidRDefault="00F42A55" w:rsidP="00BE443B">
            <w:pPr>
              <w:spacing w:after="160" w:line="240" w:lineRule="auto"/>
              <w:rPr>
                <w:sz w:val="20"/>
                <w:szCs w:val="20"/>
              </w:rPr>
            </w:pPr>
            <w:r>
              <w:rPr>
                <w:sz w:val="20"/>
              </w:rPr>
              <w:t>A</w:t>
            </w:r>
            <w:r w:rsidR="00030988">
              <w:rPr>
                <w:sz w:val="20"/>
              </w:rPr>
              <w:t xml:space="preserve"> comprehensive set of mechanisms </w:t>
            </w:r>
            <w:r>
              <w:rPr>
                <w:sz w:val="20"/>
              </w:rPr>
              <w:t xml:space="preserve">is in place </w:t>
            </w:r>
            <w:r w:rsidR="00030988">
              <w:rPr>
                <w:sz w:val="20"/>
              </w:rPr>
              <w:t>enabl</w:t>
            </w:r>
            <w:r>
              <w:rPr>
                <w:sz w:val="20"/>
              </w:rPr>
              <w:t>ing</w:t>
            </w:r>
            <w:r w:rsidR="00030988">
              <w:rPr>
                <w:sz w:val="20"/>
              </w:rPr>
              <w:t xml:space="preserve"> parliament to organize, coordinate and channel public participation in all aspects of </w:t>
            </w:r>
            <w:r>
              <w:rPr>
                <w:sz w:val="20"/>
              </w:rPr>
              <w:t>its</w:t>
            </w:r>
            <w:r w:rsidR="00030988">
              <w:rPr>
                <w:sz w:val="20"/>
              </w:rPr>
              <w:t xml:space="preserve"> processes and activities.</w:t>
            </w:r>
          </w:p>
          <w:p w14:paraId="31EFE9A1" w14:textId="15E33A32" w:rsidR="007A7D4B" w:rsidRPr="00BE443B" w:rsidRDefault="00C41867" w:rsidP="00BE443B">
            <w:pPr>
              <w:spacing w:after="160" w:line="240" w:lineRule="auto"/>
              <w:rPr>
                <w:sz w:val="20"/>
                <w:szCs w:val="20"/>
              </w:rPr>
            </w:pPr>
            <w:r>
              <w:rPr>
                <w:sz w:val="20"/>
              </w:rPr>
              <w:t>Parliament</w:t>
            </w:r>
            <w:r w:rsidR="00030988">
              <w:rPr>
                <w:sz w:val="20"/>
              </w:rPr>
              <w:t xml:space="preserve"> has easy-to-use tools to </w:t>
            </w:r>
            <w:r>
              <w:rPr>
                <w:sz w:val="20"/>
              </w:rPr>
              <w:t xml:space="preserve">support public </w:t>
            </w:r>
            <w:r w:rsidR="009F43B5">
              <w:rPr>
                <w:sz w:val="20"/>
              </w:rPr>
              <w:t>participation</w:t>
            </w:r>
            <w:r w:rsidR="00030988">
              <w:rPr>
                <w:sz w:val="20"/>
              </w:rPr>
              <w:t>. The</w:t>
            </w:r>
            <w:r>
              <w:rPr>
                <w:sz w:val="20"/>
              </w:rPr>
              <w:t>se</w:t>
            </w:r>
            <w:r w:rsidR="00030988">
              <w:rPr>
                <w:sz w:val="20"/>
              </w:rPr>
              <w:t xml:space="preserve"> tools take account of different groups within the community, including women, youth, persons with disabilities, </w:t>
            </w:r>
            <w:r w:rsidR="00183507">
              <w:rPr>
                <w:sz w:val="20"/>
              </w:rPr>
              <w:t>disadvantaged groups</w:t>
            </w:r>
            <w:r w:rsidR="00144D47">
              <w:rPr>
                <w:sz w:val="20"/>
              </w:rPr>
              <w:t>,</w:t>
            </w:r>
            <w:r w:rsidR="00183507">
              <w:rPr>
                <w:sz w:val="20"/>
              </w:rPr>
              <w:t xml:space="preserve"> </w:t>
            </w:r>
            <w:r w:rsidR="00030988">
              <w:rPr>
                <w:sz w:val="20"/>
              </w:rPr>
              <w:t>and groups in remote areas or with limited digital access.</w:t>
            </w:r>
          </w:p>
          <w:p w14:paraId="5BE29FED" w14:textId="267476C6" w:rsidR="007A7D4B" w:rsidRPr="00BE443B" w:rsidRDefault="007A2F84" w:rsidP="00BE443B">
            <w:pPr>
              <w:spacing w:after="160" w:line="240" w:lineRule="auto"/>
              <w:rPr>
                <w:sz w:val="20"/>
                <w:szCs w:val="20"/>
              </w:rPr>
            </w:pPr>
            <w:r>
              <w:rPr>
                <w:sz w:val="20"/>
              </w:rPr>
              <w:t>Parliament</w:t>
            </w:r>
            <w:r w:rsidR="00030988">
              <w:rPr>
                <w:sz w:val="20"/>
              </w:rPr>
              <w:t xml:space="preserve"> monitors the level and depth of public participation and seeks feedback from participants on their perception of the experience. </w:t>
            </w:r>
            <w:r>
              <w:rPr>
                <w:sz w:val="20"/>
              </w:rPr>
              <w:t xml:space="preserve">It </w:t>
            </w:r>
            <w:r w:rsidR="00030988">
              <w:rPr>
                <w:sz w:val="20"/>
              </w:rPr>
              <w:t>uses this information to evaluate and refine the mechanisms and tools for public participation.</w:t>
            </w:r>
          </w:p>
          <w:p w14:paraId="201E2A28" w14:textId="1B2809EA" w:rsidR="007A7D4B" w:rsidRPr="00BE443B" w:rsidRDefault="00030988" w:rsidP="00BE443B">
            <w:pPr>
              <w:spacing w:after="160" w:line="240" w:lineRule="auto"/>
              <w:rPr>
                <w:sz w:val="20"/>
                <w:szCs w:val="20"/>
              </w:rPr>
            </w:pPr>
            <w:r>
              <w:rPr>
                <w:sz w:val="20"/>
              </w:rPr>
              <w:t xml:space="preserve">Parliament dedicates </w:t>
            </w:r>
            <w:r w:rsidR="007A2F84">
              <w:rPr>
                <w:sz w:val="20"/>
              </w:rPr>
              <w:t xml:space="preserve">sufficient </w:t>
            </w:r>
            <w:r>
              <w:rPr>
                <w:sz w:val="20"/>
              </w:rPr>
              <w:t xml:space="preserve">resources to public </w:t>
            </w:r>
            <w:r w:rsidR="00357499">
              <w:rPr>
                <w:sz w:val="20"/>
              </w:rPr>
              <w:t>participation</w:t>
            </w:r>
            <w:r w:rsidR="00357499" w:rsidDel="00357499">
              <w:rPr>
                <w:sz w:val="20"/>
              </w:rPr>
              <w:t xml:space="preserve"> </w:t>
            </w:r>
            <w:r>
              <w:rPr>
                <w:sz w:val="20"/>
              </w:rPr>
              <w:t>activities.</w:t>
            </w:r>
          </w:p>
          <w:p w14:paraId="4043F8F4" w14:textId="00652E78" w:rsidR="007A7D4B" w:rsidRDefault="00030988" w:rsidP="00BE443B">
            <w:pPr>
              <w:spacing w:line="240" w:lineRule="auto"/>
              <w:rPr>
                <w:sz w:val="20"/>
                <w:szCs w:val="20"/>
              </w:rPr>
            </w:pPr>
            <w:r>
              <w:rPr>
                <w:sz w:val="20"/>
              </w:rPr>
              <w:t xml:space="preserve">Public participation processes and activities are widely </w:t>
            </w:r>
            <w:r w:rsidR="00183507">
              <w:rPr>
                <w:sz w:val="20"/>
              </w:rPr>
              <w:t xml:space="preserve">used by members of the public and are </w:t>
            </w:r>
            <w:proofErr w:type="gramStart"/>
            <w:r w:rsidR="00183507">
              <w:rPr>
                <w:sz w:val="20"/>
              </w:rPr>
              <w:t>taken into account</w:t>
            </w:r>
            <w:proofErr w:type="gramEnd"/>
            <w:r w:rsidR="00183507">
              <w:rPr>
                <w:sz w:val="20"/>
              </w:rPr>
              <w:t xml:space="preserve"> in parliamentary work.</w:t>
            </w:r>
            <w:r>
              <w:rPr>
                <w:sz w:val="20"/>
              </w:rPr>
              <w:t xml:space="preserve"> </w:t>
            </w:r>
          </w:p>
          <w:p w14:paraId="0AB279DE" w14:textId="77777777" w:rsidR="00A5067B" w:rsidRPr="00380DC7" w:rsidRDefault="00A5067B" w:rsidP="00BE443B">
            <w:pPr>
              <w:spacing w:line="240" w:lineRule="auto"/>
              <w:rPr>
                <w:color w:val="005F9A"/>
                <w:sz w:val="20"/>
                <w:szCs w:val="20"/>
              </w:rPr>
            </w:pPr>
          </w:p>
        </w:tc>
      </w:tr>
    </w:tbl>
    <w:p w14:paraId="3D753D06" w14:textId="77777777" w:rsidR="007A7D4B" w:rsidRPr="00380DC7" w:rsidRDefault="00030988" w:rsidP="00BE443B">
      <w:pPr>
        <w:pStyle w:val="section-title"/>
      </w:pPr>
      <w:r>
        <w:t>Assessment</w:t>
      </w:r>
    </w:p>
    <w:p w14:paraId="55B2D8D5" w14:textId="6524C5A3" w:rsidR="007A7D4B" w:rsidRPr="00380DC7" w:rsidRDefault="00030988" w:rsidP="00BE443B">
      <w:pPr>
        <w:spacing w:line="240" w:lineRule="auto"/>
        <w:rPr>
          <w:b/>
          <w:color w:val="005F9A"/>
          <w:sz w:val="20"/>
          <w:szCs w:val="20"/>
        </w:rPr>
      </w:pPr>
      <w:r>
        <w:rPr>
          <w:sz w:val="20"/>
        </w:rPr>
        <w:t>Th</w:t>
      </w:r>
      <w:r w:rsidR="006C7BCF">
        <w:rPr>
          <w:sz w:val="20"/>
        </w:rPr>
        <w:t>is</w:t>
      </w:r>
      <w:r>
        <w:rPr>
          <w:sz w:val="20"/>
        </w:rPr>
        <w:t xml:space="preserve"> dimension is assessed against several criteria, each of which should be evaluated separately. For each criterion, select one of the six descriptive grades (Non-existent, Rudimentary, Basic, Good, </w:t>
      </w:r>
      <w:proofErr w:type="gramStart"/>
      <w:r>
        <w:rPr>
          <w:sz w:val="20"/>
        </w:rPr>
        <w:t>Very</w:t>
      </w:r>
      <w:proofErr w:type="gramEnd"/>
      <w:r>
        <w:rPr>
          <w:sz w:val="20"/>
        </w:rPr>
        <w:t xml:space="preserve"> </w:t>
      </w:r>
      <w:r>
        <w:rPr>
          <w:sz w:val="20"/>
        </w:rPr>
        <w:lastRenderedPageBreak/>
        <w:t xml:space="preserve">good and Excellent) that best reflects the situation in your parliament, and provide details of the evidence on which this assessment is based. </w:t>
      </w:r>
    </w:p>
    <w:p w14:paraId="4935526C" w14:textId="4EBEDA27" w:rsidR="00BE443B" w:rsidRDefault="00030988" w:rsidP="00BE443B">
      <w:pPr>
        <w:spacing w:before="200" w:line="240" w:lineRule="auto"/>
        <w:rPr>
          <w:sz w:val="20"/>
          <w:szCs w:val="20"/>
        </w:rPr>
      </w:pPr>
      <w:r>
        <w:rPr>
          <w:sz w:val="20"/>
        </w:rPr>
        <w:t>The evidence for assessment of this dimension could include the following:</w:t>
      </w:r>
    </w:p>
    <w:p w14:paraId="1DA7DA6B" w14:textId="77777777" w:rsidR="00A5067B" w:rsidRPr="00380DC7" w:rsidRDefault="00A5067B" w:rsidP="00A5067B">
      <w:pPr>
        <w:spacing w:line="240" w:lineRule="auto"/>
        <w:rPr>
          <w:sz w:val="20"/>
          <w:szCs w:val="20"/>
        </w:rPr>
      </w:pPr>
    </w:p>
    <w:p w14:paraId="4B7304E6" w14:textId="3D679359" w:rsidR="007A7D4B" w:rsidRPr="00380DC7" w:rsidRDefault="00030988" w:rsidP="00BE443B">
      <w:pPr>
        <w:numPr>
          <w:ilvl w:val="0"/>
          <w:numId w:val="6"/>
        </w:numPr>
        <w:spacing w:line="240" w:lineRule="auto"/>
        <w:ind w:left="562" w:hanging="562"/>
        <w:rPr>
          <w:sz w:val="20"/>
          <w:szCs w:val="20"/>
        </w:rPr>
      </w:pPr>
      <w:r>
        <w:rPr>
          <w:sz w:val="20"/>
        </w:rPr>
        <w:t xml:space="preserve">Provisions </w:t>
      </w:r>
      <w:r w:rsidR="00216F8A">
        <w:rPr>
          <w:sz w:val="20"/>
        </w:rPr>
        <w:t xml:space="preserve">in parliament’s </w:t>
      </w:r>
      <w:r>
        <w:rPr>
          <w:sz w:val="20"/>
        </w:rPr>
        <w:t>rules, practices and policies describ</w:t>
      </w:r>
      <w:r w:rsidR="00216F8A">
        <w:rPr>
          <w:sz w:val="20"/>
        </w:rPr>
        <w:t>ing</w:t>
      </w:r>
      <w:r>
        <w:rPr>
          <w:sz w:val="20"/>
        </w:rPr>
        <w:t xml:space="preserve"> the mechanisms </w:t>
      </w:r>
      <w:r w:rsidR="00216F8A">
        <w:rPr>
          <w:sz w:val="20"/>
        </w:rPr>
        <w:t>of</w:t>
      </w:r>
      <w:r>
        <w:rPr>
          <w:sz w:val="20"/>
        </w:rPr>
        <w:t xml:space="preserve"> public </w:t>
      </w:r>
      <w:proofErr w:type="gramStart"/>
      <w:r>
        <w:rPr>
          <w:sz w:val="20"/>
        </w:rPr>
        <w:t>participation</w:t>
      </w:r>
      <w:proofErr w:type="gramEnd"/>
    </w:p>
    <w:p w14:paraId="168FD714" w14:textId="77777777" w:rsidR="007A7D4B" w:rsidRPr="00380DC7" w:rsidRDefault="00030988" w:rsidP="00BE443B">
      <w:pPr>
        <w:numPr>
          <w:ilvl w:val="0"/>
          <w:numId w:val="6"/>
        </w:numPr>
        <w:spacing w:line="240" w:lineRule="auto"/>
        <w:ind w:left="562" w:hanging="562"/>
        <w:rPr>
          <w:sz w:val="20"/>
          <w:szCs w:val="20"/>
        </w:rPr>
      </w:pPr>
      <w:r>
        <w:rPr>
          <w:sz w:val="20"/>
        </w:rPr>
        <w:t>Specific tools that help the public to participate</w:t>
      </w:r>
    </w:p>
    <w:p w14:paraId="273AE6D8" w14:textId="77777777" w:rsidR="007A7D4B" w:rsidRPr="00380DC7" w:rsidRDefault="00030988" w:rsidP="00BE443B">
      <w:pPr>
        <w:numPr>
          <w:ilvl w:val="0"/>
          <w:numId w:val="6"/>
        </w:numPr>
        <w:spacing w:line="240" w:lineRule="auto"/>
        <w:ind w:left="562" w:hanging="562"/>
        <w:rPr>
          <w:sz w:val="20"/>
          <w:szCs w:val="20"/>
        </w:rPr>
      </w:pPr>
      <w:r>
        <w:rPr>
          <w:sz w:val="20"/>
        </w:rPr>
        <w:t>Statistics and other information from the monitoring of public participation</w:t>
      </w:r>
    </w:p>
    <w:p w14:paraId="19B6B860" w14:textId="498C85F0" w:rsidR="007A7D4B" w:rsidRPr="00380DC7" w:rsidRDefault="00030988" w:rsidP="00BE443B">
      <w:pPr>
        <w:numPr>
          <w:ilvl w:val="0"/>
          <w:numId w:val="6"/>
        </w:numPr>
        <w:spacing w:line="240" w:lineRule="auto"/>
        <w:ind w:left="562" w:hanging="562"/>
        <w:rPr>
          <w:sz w:val="20"/>
          <w:szCs w:val="20"/>
        </w:rPr>
      </w:pPr>
      <w:r>
        <w:rPr>
          <w:sz w:val="20"/>
        </w:rPr>
        <w:t xml:space="preserve">Changes to </w:t>
      </w:r>
      <w:r w:rsidR="0050541A">
        <w:rPr>
          <w:sz w:val="20"/>
        </w:rPr>
        <w:t xml:space="preserve">public participation </w:t>
      </w:r>
      <w:r>
        <w:rPr>
          <w:sz w:val="20"/>
        </w:rPr>
        <w:t>mechanisms and tools over time</w:t>
      </w:r>
    </w:p>
    <w:p w14:paraId="11CBEE6E" w14:textId="4EBA80D3" w:rsidR="007A7D4B" w:rsidRPr="00380DC7" w:rsidRDefault="00035996" w:rsidP="00BE443B">
      <w:pPr>
        <w:numPr>
          <w:ilvl w:val="0"/>
          <w:numId w:val="6"/>
        </w:numPr>
        <w:spacing w:line="240" w:lineRule="auto"/>
        <w:ind w:left="562" w:hanging="562"/>
        <w:rPr>
          <w:sz w:val="24"/>
          <w:szCs w:val="24"/>
        </w:rPr>
      </w:pPr>
      <w:r>
        <w:rPr>
          <w:sz w:val="20"/>
        </w:rPr>
        <w:t>Parliament’s o</w:t>
      </w:r>
      <w:r w:rsidR="00E5613A">
        <w:rPr>
          <w:sz w:val="20"/>
        </w:rPr>
        <w:t>rganization chart and budget</w:t>
      </w:r>
    </w:p>
    <w:p w14:paraId="5786A43D" w14:textId="77777777" w:rsidR="00BE443B" w:rsidRDefault="00BE443B" w:rsidP="00BE443B">
      <w:pPr>
        <w:spacing w:line="240" w:lineRule="auto"/>
        <w:rPr>
          <w:sz w:val="20"/>
          <w:szCs w:val="20"/>
        </w:rPr>
      </w:pPr>
    </w:p>
    <w:p w14:paraId="63578D6D" w14:textId="1395DC01" w:rsidR="007A7D4B" w:rsidRPr="00380DC7" w:rsidRDefault="00B47EB5" w:rsidP="00BE443B">
      <w:pPr>
        <w:spacing w:line="240" w:lineRule="auto"/>
        <w:rPr>
          <w:sz w:val="20"/>
          <w:szCs w:val="20"/>
        </w:rPr>
      </w:pPr>
      <w:r>
        <w:rPr>
          <w:sz w:val="20"/>
        </w:rPr>
        <w:t xml:space="preserve">Where </w:t>
      </w:r>
      <w:r w:rsidR="00030988">
        <w:rPr>
          <w:sz w:val="20"/>
        </w:rPr>
        <w:t>relevant, provide additional comments or examples that support the assessment.</w:t>
      </w:r>
    </w:p>
    <w:p w14:paraId="30D98390" w14:textId="77777777" w:rsidR="007A7D4B" w:rsidRPr="00380DC7" w:rsidRDefault="007A7D4B">
      <w:pPr>
        <w:rPr>
          <w:sz w:val="20"/>
          <w:szCs w:val="20"/>
        </w:rPr>
      </w:pPr>
    </w:p>
    <w:p w14:paraId="2398F38C" w14:textId="77777777" w:rsidR="007A7D4B" w:rsidRPr="00380DC7" w:rsidRDefault="00030988" w:rsidP="00136C6E">
      <w:pPr>
        <w:pStyle w:val="Heading4"/>
      </w:pPr>
      <w:bookmarkStart w:id="14" w:name="_d24yvzrjtbvx"/>
      <w:bookmarkEnd w:id="14"/>
      <w:r>
        <w:t>Assessment criterion 1: Strategic approach</w:t>
      </w:r>
    </w:p>
    <w:p w14:paraId="3DC3F93B" w14:textId="7DA26C1B" w:rsidR="007A7D4B" w:rsidRPr="00380DC7" w:rsidRDefault="00030988" w:rsidP="00BE443B">
      <w:pPr>
        <w:spacing w:line="240" w:lineRule="auto"/>
        <w:rPr>
          <w:sz w:val="20"/>
          <w:szCs w:val="20"/>
        </w:rPr>
      </w:pPr>
      <w:r>
        <w:rPr>
          <w:sz w:val="20"/>
        </w:rPr>
        <w:t xml:space="preserve">Parliament has an agreed strategy or plan for the implementation and further development of public participation, as well as </w:t>
      </w:r>
      <w:r w:rsidR="00761A22">
        <w:rPr>
          <w:sz w:val="20"/>
        </w:rPr>
        <w:t xml:space="preserve">established </w:t>
      </w:r>
      <w:r>
        <w:rPr>
          <w:sz w:val="20"/>
        </w:rPr>
        <w:t xml:space="preserve">policies and practices, with time-bound and measurable objectives. </w:t>
      </w:r>
    </w:p>
    <w:p w14:paraId="223D2F31" w14:textId="77777777" w:rsidR="007A7D4B" w:rsidRPr="00380DC7" w:rsidRDefault="007A7D4B" w:rsidP="00BE443B">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5067B" w14:paraId="383AA7F2"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0482DB7" w14:textId="77777777" w:rsidR="00A5067B" w:rsidRDefault="00A5067B">
            <w:pPr>
              <w:jc w:val="center"/>
              <w:rPr>
                <w:rFonts w:eastAsia="Calibri"/>
                <w:sz w:val="20"/>
                <w:szCs w:val="20"/>
              </w:rPr>
            </w:pPr>
            <w:r>
              <w:rPr>
                <w:sz w:val="20"/>
              </w:rPr>
              <w:t>Non-existent</w:t>
            </w:r>
          </w:p>
          <w:sdt>
            <w:sdtPr>
              <w:rPr>
                <w:rFonts w:eastAsia="Arimo"/>
                <w:sz w:val="20"/>
                <w:szCs w:val="20"/>
              </w:rPr>
              <w:id w:val="-1979831111"/>
              <w14:checkbox>
                <w14:checked w14:val="0"/>
                <w14:checkedState w14:val="2612" w14:font="MS Gothic"/>
                <w14:uncheckedState w14:val="2610" w14:font="MS Gothic"/>
              </w14:checkbox>
            </w:sdtPr>
            <w:sdtEndPr/>
            <w:sdtContent>
              <w:p w14:paraId="0C0E80D4" w14:textId="77777777" w:rsidR="00A5067B" w:rsidRDefault="00A5067B">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70F319" w14:textId="77777777" w:rsidR="00A5067B" w:rsidRDefault="00A5067B">
            <w:pPr>
              <w:jc w:val="center"/>
              <w:rPr>
                <w:rFonts w:eastAsia="Calibri"/>
                <w:sz w:val="20"/>
                <w:szCs w:val="20"/>
              </w:rPr>
            </w:pPr>
            <w:r>
              <w:rPr>
                <w:sz w:val="20"/>
              </w:rPr>
              <w:t xml:space="preserve">Rudimentary </w:t>
            </w:r>
          </w:p>
          <w:sdt>
            <w:sdtPr>
              <w:rPr>
                <w:rFonts w:eastAsia="Arimo"/>
                <w:sz w:val="20"/>
                <w:szCs w:val="20"/>
              </w:rPr>
              <w:id w:val="162218759"/>
              <w14:checkbox>
                <w14:checked w14:val="0"/>
                <w14:checkedState w14:val="2612" w14:font="MS Gothic"/>
                <w14:uncheckedState w14:val="2610" w14:font="MS Gothic"/>
              </w14:checkbox>
            </w:sdtPr>
            <w:sdtEndPr/>
            <w:sdtContent>
              <w:p w14:paraId="3F2AD4C2"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30E5AC" w14:textId="77777777" w:rsidR="00A5067B" w:rsidRDefault="00A5067B">
            <w:pPr>
              <w:jc w:val="center"/>
              <w:rPr>
                <w:rFonts w:eastAsia="Calibri"/>
                <w:sz w:val="20"/>
                <w:szCs w:val="20"/>
              </w:rPr>
            </w:pPr>
            <w:r>
              <w:rPr>
                <w:sz w:val="20"/>
              </w:rPr>
              <w:t>Basic</w:t>
            </w:r>
          </w:p>
          <w:sdt>
            <w:sdtPr>
              <w:rPr>
                <w:rFonts w:eastAsia="Arimo"/>
                <w:sz w:val="20"/>
                <w:szCs w:val="20"/>
              </w:rPr>
              <w:id w:val="-913315481"/>
              <w14:checkbox>
                <w14:checked w14:val="0"/>
                <w14:checkedState w14:val="2612" w14:font="MS Gothic"/>
                <w14:uncheckedState w14:val="2610" w14:font="MS Gothic"/>
              </w14:checkbox>
            </w:sdtPr>
            <w:sdtEndPr/>
            <w:sdtContent>
              <w:p w14:paraId="13E7F777"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0D4CFF" w14:textId="77777777" w:rsidR="00A5067B" w:rsidRDefault="00A5067B">
            <w:pPr>
              <w:jc w:val="center"/>
              <w:rPr>
                <w:rFonts w:eastAsia="Calibri"/>
                <w:sz w:val="20"/>
                <w:szCs w:val="20"/>
              </w:rPr>
            </w:pPr>
            <w:r>
              <w:rPr>
                <w:sz w:val="20"/>
              </w:rPr>
              <w:t>Good</w:t>
            </w:r>
          </w:p>
          <w:sdt>
            <w:sdtPr>
              <w:rPr>
                <w:rFonts w:eastAsia="Arimo"/>
                <w:sz w:val="20"/>
                <w:szCs w:val="20"/>
              </w:rPr>
              <w:id w:val="1907877343"/>
              <w14:checkbox>
                <w14:checked w14:val="0"/>
                <w14:checkedState w14:val="2612" w14:font="MS Gothic"/>
                <w14:uncheckedState w14:val="2610" w14:font="MS Gothic"/>
              </w14:checkbox>
            </w:sdtPr>
            <w:sdtEndPr/>
            <w:sdtContent>
              <w:p w14:paraId="2A4FB864" w14:textId="77777777" w:rsidR="00A5067B" w:rsidRDefault="00A5067B">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61A16E" w14:textId="77777777" w:rsidR="00A5067B" w:rsidRDefault="00A5067B">
            <w:pPr>
              <w:jc w:val="center"/>
              <w:rPr>
                <w:rFonts w:eastAsia="Calibri"/>
                <w:sz w:val="20"/>
                <w:szCs w:val="20"/>
              </w:rPr>
            </w:pPr>
            <w:r>
              <w:rPr>
                <w:sz w:val="20"/>
              </w:rPr>
              <w:t>Very good</w:t>
            </w:r>
          </w:p>
          <w:sdt>
            <w:sdtPr>
              <w:rPr>
                <w:rFonts w:eastAsia="Arimo"/>
                <w:sz w:val="20"/>
                <w:szCs w:val="20"/>
              </w:rPr>
              <w:id w:val="129379058"/>
              <w14:checkbox>
                <w14:checked w14:val="0"/>
                <w14:checkedState w14:val="2612" w14:font="MS Gothic"/>
                <w14:uncheckedState w14:val="2610" w14:font="MS Gothic"/>
              </w14:checkbox>
            </w:sdtPr>
            <w:sdtEndPr/>
            <w:sdtContent>
              <w:p w14:paraId="6F7ACF47"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56EBA39" w14:textId="77777777" w:rsidR="00A5067B" w:rsidRDefault="00A5067B">
            <w:pPr>
              <w:jc w:val="center"/>
              <w:rPr>
                <w:rFonts w:eastAsia="Calibri"/>
                <w:sz w:val="20"/>
                <w:szCs w:val="20"/>
              </w:rPr>
            </w:pPr>
            <w:r>
              <w:rPr>
                <w:sz w:val="20"/>
              </w:rPr>
              <w:t>Excellent</w:t>
            </w:r>
          </w:p>
          <w:sdt>
            <w:sdtPr>
              <w:rPr>
                <w:rFonts w:eastAsia="Arimo"/>
                <w:sz w:val="20"/>
                <w:szCs w:val="20"/>
              </w:rPr>
              <w:id w:val="-826672079"/>
              <w14:checkbox>
                <w14:checked w14:val="0"/>
                <w14:checkedState w14:val="2612" w14:font="MS Gothic"/>
                <w14:uncheckedState w14:val="2610" w14:font="MS Gothic"/>
              </w14:checkbox>
            </w:sdtPr>
            <w:sdtEndPr/>
            <w:sdtContent>
              <w:p w14:paraId="13EAF80C"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r>
      <w:tr w:rsidR="00A5067B" w14:paraId="22163EBF"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49C29C" w14:textId="77777777" w:rsidR="00A5067B" w:rsidRDefault="00A5067B">
            <w:pPr>
              <w:rPr>
                <w:rFonts w:eastAsia="Calibri"/>
                <w:color w:val="005F9A"/>
                <w:sz w:val="20"/>
                <w:szCs w:val="20"/>
              </w:rPr>
            </w:pPr>
            <w:r>
              <w:rPr>
                <w:color w:val="005F9A"/>
                <w:sz w:val="20"/>
              </w:rPr>
              <w:t>Evidence for this assessment criterion:</w:t>
            </w:r>
          </w:p>
          <w:p w14:paraId="51BBB064" w14:textId="77777777" w:rsidR="00A5067B" w:rsidRDefault="00A5067B">
            <w:pPr>
              <w:rPr>
                <w:rFonts w:eastAsia="Calibri"/>
                <w:color w:val="0000FF"/>
                <w:sz w:val="20"/>
                <w:szCs w:val="20"/>
              </w:rPr>
            </w:pPr>
          </w:p>
          <w:p w14:paraId="286ABE60" w14:textId="77777777" w:rsidR="00A5067B" w:rsidRDefault="00A5067B">
            <w:pPr>
              <w:rPr>
                <w:rFonts w:eastAsia="Calibri"/>
                <w:color w:val="0000FF"/>
                <w:sz w:val="20"/>
                <w:szCs w:val="20"/>
              </w:rPr>
            </w:pPr>
          </w:p>
        </w:tc>
      </w:tr>
    </w:tbl>
    <w:p w14:paraId="4A71DF02" w14:textId="5F261EC8" w:rsidR="007A7D4B" w:rsidRPr="00380DC7" w:rsidRDefault="00D033EA" w:rsidP="00136C6E">
      <w:pPr>
        <w:pStyle w:val="Heading4"/>
      </w:pPr>
      <w:bookmarkStart w:id="15" w:name="_bi6kghcmtcmo"/>
      <w:bookmarkEnd w:id="15"/>
      <w:r>
        <w:t>Assessment criterion 2: M</w:t>
      </w:r>
      <w:r w:rsidR="00136C6E">
        <w:t>echanisms</w:t>
      </w:r>
    </w:p>
    <w:p w14:paraId="0D851D5B" w14:textId="3A903016" w:rsidR="007A7D4B" w:rsidRDefault="00F9068F" w:rsidP="00BE443B">
      <w:pPr>
        <w:spacing w:line="240" w:lineRule="auto"/>
        <w:rPr>
          <w:sz w:val="20"/>
          <w:szCs w:val="20"/>
        </w:rPr>
      </w:pPr>
      <w:r>
        <w:rPr>
          <w:sz w:val="20"/>
        </w:rPr>
        <w:t xml:space="preserve">Parliament’s rules, practices and policies contain a comprehensive set of mechanisms for the organization, </w:t>
      </w:r>
      <w:proofErr w:type="gramStart"/>
      <w:r>
        <w:rPr>
          <w:sz w:val="20"/>
        </w:rPr>
        <w:t>coordination</w:t>
      </w:r>
      <w:proofErr w:type="gramEnd"/>
      <w:r>
        <w:rPr>
          <w:sz w:val="20"/>
        </w:rPr>
        <w:t xml:space="preserve"> and channelling of public participation. Public participation processes and activities are widely advertised. There are mechanisms by which the public can both receive, and provide feedback on, the outcome of their participation.</w:t>
      </w:r>
    </w:p>
    <w:p w14:paraId="46C3E66D" w14:textId="77777777" w:rsidR="00A5067B" w:rsidRPr="00380DC7" w:rsidRDefault="00A5067B" w:rsidP="00BE443B">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5067B" w14:paraId="0B383F12"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46BD08B" w14:textId="77777777" w:rsidR="00A5067B" w:rsidRDefault="00A5067B">
            <w:pPr>
              <w:jc w:val="center"/>
              <w:rPr>
                <w:rFonts w:eastAsia="Calibri"/>
                <w:sz w:val="20"/>
                <w:szCs w:val="20"/>
              </w:rPr>
            </w:pPr>
            <w:r>
              <w:rPr>
                <w:sz w:val="20"/>
              </w:rPr>
              <w:t>Non-existent</w:t>
            </w:r>
          </w:p>
          <w:sdt>
            <w:sdtPr>
              <w:rPr>
                <w:rFonts w:eastAsia="Arimo"/>
                <w:sz w:val="20"/>
                <w:szCs w:val="20"/>
              </w:rPr>
              <w:id w:val="-1155297609"/>
              <w14:checkbox>
                <w14:checked w14:val="0"/>
                <w14:checkedState w14:val="2612" w14:font="MS Gothic"/>
                <w14:uncheckedState w14:val="2610" w14:font="MS Gothic"/>
              </w14:checkbox>
            </w:sdtPr>
            <w:sdtEndPr/>
            <w:sdtContent>
              <w:p w14:paraId="172C4262" w14:textId="77777777" w:rsidR="00A5067B" w:rsidRDefault="00A5067B">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FB73EF" w14:textId="77777777" w:rsidR="00A5067B" w:rsidRDefault="00A5067B">
            <w:pPr>
              <w:jc w:val="center"/>
              <w:rPr>
                <w:rFonts w:eastAsia="Calibri"/>
                <w:sz w:val="20"/>
                <w:szCs w:val="20"/>
              </w:rPr>
            </w:pPr>
            <w:r>
              <w:rPr>
                <w:sz w:val="20"/>
              </w:rPr>
              <w:t xml:space="preserve">Rudimentary </w:t>
            </w:r>
          </w:p>
          <w:sdt>
            <w:sdtPr>
              <w:rPr>
                <w:rFonts w:eastAsia="Arimo"/>
                <w:sz w:val="20"/>
                <w:szCs w:val="20"/>
              </w:rPr>
              <w:id w:val="1347593244"/>
              <w14:checkbox>
                <w14:checked w14:val="0"/>
                <w14:checkedState w14:val="2612" w14:font="MS Gothic"/>
                <w14:uncheckedState w14:val="2610" w14:font="MS Gothic"/>
              </w14:checkbox>
            </w:sdtPr>
            <w:sdtEndPr/>
            <w:sdtContent>
              <w:p w14:paraId="249B527F"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B88E3A" w14:textId="77777777" w:rsidR="00A5067B" w:rsidRDefault="00A5067B">
            <w:pPr>
              <w:jc w:val="center"/>
              <w:rPr>
                <w:rFonts w:eastAsia="Calibri"/>
                <w:sz w:val="20"/>
                <w:szCs w:val="20"/>
              </w:rPr>
            </w:pPr>
            <w:r>
              <w:rPr>
                <w:sz w:val="20"/>
              </w:rPr>
              <w:t>Basic</w:t>
            </w:r>
          </w:p>
          <w:sdt>
            <w:sdtPr>
              <w:rPr>
                <w:rFonts w:eastAsia="Arimo"/>
                <w:sz w:val="20"/>
                <w:szCs w:val="20"/>
              </w:rPr>
              <w:id w:val="544031389"/>
              <w14:checkbox>
                <w14:checked w14:val="0"/>
                <w14:checkedState w14:val="2612" w14:font="MS Gothic"/>
                <w14:uncheckedState w14:val="2610" w14:font="MS Gothic"/>
              </w14:checkbox>
            </w:sdtPr>
            <w:sdtEndPr/>
            <w:sdtContent>
              <w:p w14:paraId="44353AD6"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1EEFA5" w14:textId="77777777" w:rsidR="00A5067B" w:rsidRDefault="00A5067B">
            <w:pPr>
              <w:jc w:val="center"/>
              <w:rPr>
                <w:rFonts w:eastAsia="Calibri"/>
                <w:sz w:val="20"/>
                <w:szCs w:val="20"/>
              </w:rPr>
            </w:pPr>
            <w:r>
              <w:rPr>
                <w:sz w:val="20"/>
              </w:rPr>
              <w:t>Good</w:t>
            </w:r>
          </w:p>
          <w:sdt>
            <w:sdtPr>
              <w:rPr>
                <w:rFonts w:eastAsia="Arimo"/>
                <w:sz w:val="20"/>
                <w:szCs w:val="20"/>
              </w:rPr>
              <w:id w:val="-509368259"/>
              <w14:checkbox>
                <w14:checked w14:val="0"/>
                <w14:checkedState w14:val="2612" w14:font="MS Gothic"/>
                <w14:uncheckedState w14:val="2610" w14:font="MS Gothic"/>
              </w14:checkbox>
            </w:sdtPr>
            <w:sdtEndPr/>
            <w:sdtContent>
              <w:p w14:paraId="42DC66DB" w14:textId="77777777" w:rsidR="00A5067B" w:rsidRDefault="00A5067B">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62B834" w14:textId="77777777" w:rsidR="00A5067B" w:rsidRDefault="00A5067B">
            <w:pPr>
              <w:jc w:val="center"/>
              <w:rPr>
                <w:rFonts w:eastAsia="Calibri"/>
                <w:sz w:val="20"/>
                <w:szCs w:val="20"/>
              </w:rPr>
            </w:pPr>
            <w:r>
              <w:rPr>
                <w:sz w:val="20"/>
              </w:rPr>
              <w:t>Very good</w:t>
            </w:r>
          </w:p>
          <w:sdt>
            <w:sdtPr>
              <w:rPr>
                <w:rFonts w:eastAsia="Arimo"/>
                <w:sz w:val="20"/>
                <w:szCs w:val="20"/>
              </w:rPr>
              <w:id w:val="2073846995"/>
              <w14:checkbox>
                <w14:checked w14:val="0"/>
                <w14:checkedState w14:val="2612" w14:font="MS Gothic"/>
                <w14:uncheckedState w14:val="2610" w14:font="MS Gothic"/>
              </w14:checkbox>
            </w:sdtPr>
            <w:sdtEndPr/>
            <w:sdtContent>
              <w:p w14:paraId="124151CD"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EEBCDB5" w14:textId="77777777" w:rsidR="00A5067B" w:rsidRDefault="00A5067B">
            <w:pPr>
              <w:jc w:val="center"/>
              <w:rPr>
                <w:rFonts w:eastAsia="Calibri"/>
                <w:sz w:val="20"/>
                <w:szCs w:val="20"/>
              </w:rPr>
            </w:pPr>
            <w:r>
              <w:rPr>
                <w:sz w:val="20"/>
              </w:rPr>
              <w:t>Excellent</w:t>
            </w:r>
          </w:p>
          <w:sdt>
            <w:sdtPr>
              <w:rPr>
                <w:rFonts w:eastAsia="Arimo"/>
                <w:sz w:val="20"/>
                <w:szCs w:val="20"/>
              </w:rPr>
              <w:id w:val="1227576876"/>
              <w14:checkbox>
                <w14:checked w14:val="0"/>
                <w14:checkedState w14:val="2612" w14:font="MS Gothic"/>
                <w14:uncheckedState w14:val="2610" w14:font="MS Gothic"/>
              </w14:checkbox>
            </w:sdtPr>
            <w:sdtEndPr/>
            <w:sdtContent>
              <w:p w14:paraId="673F8759"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r>
      <w:tr w:rsidR="00A5067B" w14:paraId="5D3710CE"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D851EF" w14:textId="77777777" w:rsidR="00A5067B" w:rsidRDefault="00A5067B">
            <w:pPr>
              <w:rPr>
                <w:rFonts w:eastAsia="Calibri"/>
                <w:color w:val="005F9A"/>
                <w:sz w:val="20"/>
                <w:szCs w:val="20"/>
              </w:rPr>
            </w:pPr>
            <w:r>
              <w:rPr>
                <w:color w:val="005F9A"/>
                <w:sz w:val="20"/>
              </w:rPr>
              <w:t>Evidence for this assessment criterion:</w:t>
            </w:r>
          </w:p>
          <w:p w14:paraId="10CC00BD" w14:textId="77777777" w:rsidR="00A5067B" w:rsidRDefault="00A5067B">
            <w:pPr>
              <w:rPr>
                <w:rFonts w:eastAsia="Calibri"/>
                <w:color w:val="0000FF"/>
                <w:sz w:val="20"/>
                <w:szCs w:val="20"/>
              </w:rPr>
            </w:pPr>
          </w:p>
          <w:p w14:paraId="7D450E00" w14:textId="77777777" w:rsidR="00A5067B" w:rsidRDefault="00A5067B">
            <w:pPr>
              <w:rPr>
                <w:rFonts w:eastAsia="Calibri"/>
                <w:color w:val="0000FF"/>
                <w:sz w:val="20"/>
                <w:szCs w:val="20"/>
              </w:rPr>
            </w:pPr>
          </w:p>
        </w:tc>
      </w:tr>
    </w:tbl>
    <w:p w14:paraId="248CA3F3" w14:textId="77777777" w:rsidR="007A7D4B" w:rsidRPr="00380DC7" w:rsidRDefault="00030988" w:rsidP="00136C6E">
      <w:pPr>
        <w:pStyle w:val="Heading4"/>
      </w:pPr>
      <w:bookmarkStart w:id="16" w:name="_p83nntwia0lo"/>
      <w:bookmarkStart w:id="17" w:name="_7ax8vey8vpgf" w:colFirst="0" w:colLast="0"/>
      <w:bookmarkEnd w:id="16"/>
      <w:bookmarkEnd w:id="17"/>
      <w:r>
        <w:t xml:space="preserve">Assessment criterion 3: Tools </w:t>
      </w:r>
    </w:p>
    <w:p w14:paraId="427A7772" w14:textId="1FD62E18" w:rsidR="007A7D4B" w:rsidRPr="00380DC7" w:rsidRDefault="00761A22" w:rsidP="00BE443B">
      <w:pPr>
        <w:spacing w:line="240" w:lineRule="auto"/>
        <w:rPr>
          <w:sz w:val="20"/>
          <w:szCs w:val="20"/>
        </w:rPr>
      </w:pPr>
      <w:r>
        <w:rPr>
          <w:sz w:val="20"/>
        </w:rPr>
        <w:t>Parliament has</w:t>
      </w:r>
      <w:r w:rsidR="00030988">
        <w:rPr>
          <w:sz w:val="20"/>
        </w:rPr>
        <w:t xml:space="preserve"> easy-to-use tools to </w:t>
      </w:r>
      <w:r>
        <w:rPr>
          <w:sz w:val="20"/>
        </w:rPr>
        <w:t xml:space="preserve">support public </w:t>
      </w:r>
      <w:r w:rsidR="009F43B5">
        <w:rPr>
          <w:sz w:val="20"/>
        </w:rPr>
        <w:t>participation</w:t>
      </w:r>
      <w:r w:rsidR="00030988">
        <w:rPr>
          <w:sz w:val="20"/>
        </w:rPr>
        <w:t>, both online and on</w:t>
      </w:r>
      <w:r w:rsidR="007174A5">
        <w:rPr>
          <w:sz w:val="20"/>
        </w:rPr>
        <w:t>-</w:t>
      </w:r>
      <w:r w:rsidR="00030988">
        <w:rPr>
          <w:sz w:val="20"/>
        </w:rPr>
        <w:t>site. The</w:t>
      </w:r>
      <w:r w:rsidR="004F7E18">
        <w:rPr>
          <w:sz w:val="20"/>
        </w:rPr>
        <w:t>se</w:t>
      </w:r>
      <w:r w:rsidR="00030988">
        <w:rPr>
          <w:sz w:val="20"/>
        </w:rPr>
        <w:t xml:space="preserve"> tools take account of different groups within the community, including women, youth, persons with disabilities, </w:t>
      </w:r>
      <w:r w:rsidR="005E6007">
        <w:rPr>
          <w:sz w:val="20"/>
        </w:rPr>
        <w:t xml:space="preserve">disadvantaged groups, </w:t>
      </w:r>
      <w:r w:rsidR="00030988">
        <w:rPr>
          <w:sz w:val="20"/>
        </w:rPr>
        <w:t xml:space="preserve">and groups </w:t>
      </w:r>
      <w:r w:rsidR="007174A5">
        <w:rPr>
          <w:sz w:val="20"/>
        </w:rPr>
        <w:t xml:space="preserve">in </w:t>
      </w:r>
      <w:r w:rsidR="00030988">
        <w:rPr>
          <w:sz w:val="20"/>
        </w:rPr>
        <w:t>remote areas or with limited digital access.</w:t>
      </w:r>
    </w:p>
    <w:p w14:paraId="6F4525E8" w14:textId="77777777" w:rsidR="007A7D4B" w:rsidRPr="00380DC7" w:rsidRDefault="007A7D4B" w:rsidP="00BE443B">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5067B" w14:paraId="15DE4AD7"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ACC18C9" w14:textId="77777777" w:rsidR="00A5067B" w:rsidRDefault="00A5067B">
            <w:pPr>
              <w:jc w:val="center"/>
              <w:rPr>
                <w:rFonts w:eastAsia="Calibri"/>
                <w:sz w:val="20"/>
                <w:szCs w:val="20"/>
              </w:rPr>
            </w:pPr>
            <w:r>
              <w:rPr>
                <w:sz w:val="20"/>
              </w:rPr>
              <w:t>Non-existent</w:t>
            </w:r>
          </w:p>
          <w:sdt>
            <w:sdtPr>
              <w:rPr>
                <w:rFonts w:eastAsia="Arimo"/>
                <w:sz w:val="20"/>
                <w:szCs w:val="20"/>
              </w:rPr>
              <w:id w:val="1476562573"/>
              <w14:checkbox>
                <w14:checked w14:val="0"/>
                <w14:checkedState w14:val="2612" w14:font="MS Gothic"/>
                <w14:uncheckedState w14:val="2610" w14:font="MS Gothic"/>
              </w14:checkbox>
            </w:sdtPr>
            <w:sdtEndPr/>
            <w:sdtContent>
              <w:p w14:paraId="12DFB941" w14:textId="77777777" w:rsidR="00A5067B" w:rsidRDefault="00A5067B">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D2AB1C" w14:textId="77777777" w:rsidR="00A5067B" w:rsidRDefault="00A5067B">
            <w:pPr>
              <w:jc w:val="center"/>
              <w:rPr>
                <w:rFonts w:eastAsia="Calibri"/>
                <w:sz w:val="20"/>
                <w:szCs w:val="20"/>
              </w:rPr>
            </w:pPr>
            <w:r>
              <w:rPr>
                <w:sz w:val="20"/>
              </w:rPr>
              <w:t xml:space="preserve">Rudimentary </w:t>
            </w:r>
          </w:p>
          <w:sdt>
            <w:sdtPr>
              <w:rPr>
                <w:rFonts w:eastAsia="Arimo"/>
                <w:sz w:val="20"/>
                <w:szCs w:val="20"/>
              </w:rPr>
              <w:id w:val="211544541"/>
              <w14:checkbox>
                <w14:checked w14:val="0"/>
                <w14:checkedState w14:val="2612" w14:font="MS Gothic"/>
                <w14:uncheckedState w14:val="2610" w14:font="MS Gothic"/>
              </w14:checkbox>
            </w:sdtPr>
            <w:sdtEndPr/>
            <w:sdtContent>
              <w:p w14:paraId="4BFB295D"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6EA69A" w14:textId="77777777" w:rsidR="00A5067B" w:rsidRDefault="00A5067B">
            <w:pPr>
              <w:jc w:val="center"/>
              <w:rPr>
                <w:rFonts w:eastAsia="Calibri"/>
                <w:sz w:val="20"/>
                <w:szCs w:val="20"/>
              </w:rPr>
            </w:pPr>
            <w:r>
              <w:rPr>
                <w:sz w:val="20"/>
              </w:rPr>
              <w:t>Basic</w:t>
            </w:r>
          </w:p>
          <w:sdt>
            <w:sdtPr>
              <w:rPr>
                <w:rFonts w:eastAsia="Arimo"/>
                <w:sz w:val="20"/>
                <w:szCs w:val="20"/>
              </w:rPr>
              <w:id w:val="1098917648"/>
              <w14:checkbox>
                <w14:checked w14:val="0"/>
                <w14:checkedState w14:val="2612" w14:font="MS Gothic"/>
                <w14:uncheckedState w14:val="2610" w14:font="MS Gothic"/>
              </w14:checkbox>
            </w:sdtPr>
            <w:sdtEndPr/>
            <w:sdtContent>
              <w:p w14:paraId="18FA6FA3"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998646" w14:textId="77777777" w:rsidR="00A5067B" w:rsidRDefault="00A5067B">
            <w:pPr>
              <w:jc w:val="center"/>
              <w:rPr>
                <w:rFonts w:eastAsia="Calibri"/>
                <w:sz w:val="20"/>
                <w:szCs w:val="20"/>
              </w:rPr>
            </w:pPr>
            <w:r>
              <w:rPr>
                <w:sz w:val="20"/>
              </w:rPr>
              <w:t>Good</w:t>
            </w:r>
          </w:p>
          <w:sdt>
            <w:sdtPr>
              <w:rPr>
                <w:rFonts w:eastAsia="Arimo"/>
                <w:sz w:val="20"/>
                <w:szCs w:val="20"/>
              </w:rPr>
              <w:id w:val="-834222366"/>
              <w14:checkbox>
                <w14:checked w14:val="0"/>
                <w14:checkedState w14:val="2612" w14:font="MS Gothic"/>
                <w14:uncheckedState w14:val="2610" w14:font="MS Gothic"/>
              </w14:checkbox>
            </w:sdtPr>
            <w:sdtEndPr/>
            <w:sdtContent>
              <w:p w14:paraId="4EC0FEE6" w14:textId="77777777" w:rsidR="00A5067B" w:rsidRDefault="00A5067B">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FFA4BB" w14:textId="77777777" w:rsidR="00A5067B" w:rsidRDefault="00A5067B">
            <w:pPr>
              <w:jc w:val="center"/>
              <w:rPr>
                <w:rFonts w:eastAsia="Calibri"/>
                <w:sz w:val="20"/>
                <w:szCs w:val="20"/>
              </w:rPr>
            </w:pPr>
            <w:r>
              <w:rPr>
                <w:sz w:val="20"/>
              </w:rPr>
              <w:t>Very good</w:t>
            </w:r>
          </w:p>
          <w:sdt>
            <w:sdtPr>
              <w:rPr>
                <w:rFonts w:eastAsia="Arimo"/>
                <w:sz w:val="20"/>
                <w:szCs w:val="20"/>
              </w:rPr>
              <w:id w:val="642085625"/>
              <w14:checkbox>
                <w14:checked w14:val="0"/>
                <w14:checkedState w14:val="2612" w14:font="MS Gothic"/>
                <w14:uncheckedState w14:val="2610" w14:font="MS Gothic"/>
              </w14:checkbox>
            </w:sdtPr>
            <w:sdtEndPr/>
            <w:sdtContent>
              <w:p w14:paraId="565F7858"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7989CB7" w14:textId="77777777" w:rsidR="00A5067B" w:rsidRDefault="00A5067B">
            <w:pPr>
              <w:jc w:val="center"/>
              <w:rPr>
                <w:rFonts w:eastAsia="Calibri"/>
                <w:sz w:val="20"/>
                <w:szCs w:val="20"/>
              </w:rPr>
            </w:pPr>
            <w:r>
              <w:rPr>
                <w:sz w:val="20"/>
              </w:rPr>
              <w:t>Excellent</w:t>
            </w:r>
          </w:p>
          <w:sdt>
            <w:sdtPr>
              <w:rPr>
                <w:rFonts w:eastAsia="Arimo"/>
                <w:sz w:val="20"/>
                <w:szCs w:val="20"/>
              </w:rPr>
              <w:id w:val="249322711"/>
              <w14:checkbox>
                <w14:checked w14:val="0"/>
                <w14:checkedState w14:val="2612" w14:font="MS Gothic"/>
                <w14:uncheckedState w14:val="2610" w14:font="MS Gothic"/>
              </w14:checkbox>
            </w:sdtPr>
            <w:sdtEndPr/>
            <w:sdtContent>
              <w:p w14:paraId="24C0DCAB"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r>
      <w:tr w:rsidR="00A5067B" w14:paraId="603AFAF5"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E9CEDC" w14:textId="77777777" w:rsidR="00A5067B" w:rsidRDefault="00A5067B">
            <w:pPr>
              <w:rPr>
                <w:rFonts w:eastAsia="Calibri"/>
                <w:color w:val="005F9A"/>
                <w:sz w:val="20"/>
                <w:szCs w:val="20"/>
              </w:rPr>
            </w:pPr>
            <w:r>
              <w:rPr>
                <w:color w:val="005F9A"/>
                <w:sz w:val="20"/>
              </w:rPr>
              <w:t>Evidence for this assessment criterion:</w:t>
            </w:r>
          </w:p>
          <w:p w14:paraId="23B17C9B" w14:textId="77777777" w:rsidR="00A5067B" w:rsidRDefault="00A5067B">
            <w:pPr>
              <w:rPr>
                <w:rFonts w:eastAsia="Calibri"/>
                <w:color w:val="0000FF"/>
                <w:sz w:val="20"/>
                <w:szCs w:val="20"/>
              </w:rPr>
            </w:pPr>
          </w:p>
          <w:p w14:paraId="6B060000" w14:textId="77777777" w:rsidR="00A5067B" w:rsidRDefault="00A5067B">
            <w:pPr>
              <w:rPr>
                <w:rFonts w:eastAsia="Calibri"/>
                <w:color w:val="0000FF"/>
                <w:sz w:val="20"/>
                <w:szCs w:val="20"/>
              </w:rPr>
            </w:pPr>
          </w:p>
        </w:tc>
      </w:tr>
    </w:tbl>
    <w:p w14:paraId="51BA65B0" w14:textId="07906979" w:rsidR="007A7D4B" w:rsidRPr="00380DC7" w:rsidRDefault="00030988" w:rsidP="00136C6E">
      <w:pPr>
        <w:pStyle w:val="Heading4"/>
      </w:pPr>
      <w:bookmarkStart w:id="18" w:name="_s9eigok1xgg2"/>
      <w:bookmarkEnd w:id="18"/>
      <w:r>
        <w:lastRenderedPageBreak/>
        <w:t xml:space="preserve">Assessment criterion 4: </w:t>
      </w:r>
      <w:r w:rsidR="00136C6E">
        <w:t>Monitoring and evaluation</w:t>
      </w:r>
    </w:p>
    <w:p w14:paraId="22043505" w14:textId="7AAE6070" w:rsidR="00F9068F" w:rsidRDefault="00F9068F" w:rsidP="00BE443B">
      <w:pPr>
        <w:spacing w:line="240" w:lineRule="auto"/>
        <w:rPr>
          <w:sz w:val="20"/>
        </w:rPr>
      </w:pPr>
      <w:r>
        <w:rPr>
          <w:sz w:val="20"/>
        </w:rPr>
        <w:t xml:space="preserve">Parliament monitors and evaluates the use of its public participation mechanisms and tools and reports on their use on its website. Parliament adapts and changes its engagement mechanisms and tools </w:t>
      </w:r>
      <w:proofErr w:type="gramStart"/>
      <w:r>
        <w:rPr>
          <w:sz w:val="20"/>
        </w:rPr>
        <w:t>in light of</w:t>
      </w:r>
      <w:proofErr w:type="gramEnd"/>
      <w:r>
        <w:rPr>
          <w:sz w:val="20"/>
        </w:rPr>
        <w:t xml:space="preserve"> the results of this evaluation work.</w:t>
      </w:r>
    </w:p>
    <w:p w14:paraId="71C1584F" w14:textId="77777777" w:rsidR="007A7D4B" w:rsidRPr="00380DC7" w:rsidRDefault="007A7D4B" w:rsidP="00BE443B">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5067B" w14:paraId="55F5F227"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165D19A" w14:textId="77777777" w:rsidR="00A5067B" w:rsidRDefault="00A5067B">
            <w:pPr>
              <w:jc w:val="center"/>
              <w:rPr>
                <w:rFonts w:eastAsia="Calibri"/>
                <w:sz w:val="20"/>
                <w:szCs w:val="20"/>
              </w:rPr>
            </w:pPr>
            <w:bookmarkStart w:id="19" w:name="_6sqfk2lgs0um"/>
            <w:bookmarkEnd w:id="19"/>
            <w:r>
              <w:rPr>
                <w:sz w:val="20"/>
              </w:rPr>
              <w:t>Non-existent</w:t>
            </w:r>
          </w:p>
          <w:sdt>
            <w:sdtPr>
              <w:rPr>
                <w:rFonts w:eastAsia="Arimo"/>
                <w:sz w:val="20"/>
                <w:szCs w:val="20"/>
              </w:rPr>
              <w:id w:val="-255441904"/>
              <w14:checkbox>
                <w14:checked w14:val="0"/>
                <w14:checkedState w14:val="2612" w14:font="MS Gothic"/>
                <w14:uncheckedState w14:val="2610" w14:font="MS Gothic"/>
              </w14:checkbox>
            </w:sdtPr>
            <w:sdtEndPr/>
            <w:sdtContent>
              <w:p w14:paraId="5A26C102" w14:textId="77777777" w:rsidR="00A5067B" w:rsidRDefault="00A5067B">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C74F2F" w14:textId="77777777" w:rsidR="00A5067B" w:rsidRDefault="00A5067B">
            <w:pPr>
              <w:jc w:val="center"/>
              <w:rPr>
                <w:rFonts w:eastAsia="Calibri"/>
                <w:sz w:val="20"/>
                <w:szCs w:val="20"/>
              </w:rPr>
            </w:pPr>
            <w:r>
              <w:rPr>
                <w:sz w:val="20"/>
              </w:rPr>
              <w:t xml:space="preserve">Rudimentary </w:t>
            </w:r>
          </w:p>
          <w:sdt>
            <w:sdtPr>
              <w:rPr>
                <w:rFonts w:eastAsia="Arimo"/>
                <w:sz w:val="20"/>
                <w:szCs w:val="20"/>
              </w:rPr>
              <w:id w:val="2123260811"/>
              <w14:checkbox>
                <w14:checked w14:val="0"/>
                <w14:checkedState w14:val="2612" w14:font="MS Gothic"/>
                <w14:uncheckedState w14:val="2610" w14:font="MS Gothic"/>
              </w14:checkbox>
            </w:sdtPr>
            <w:sdtEndPr/>
            <w:sdtContent>
              <w:p w14:paraId="48356F4D"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FBC3C6" w14:textId="77777777" w:rsidR="00A5067B" w:rsidRDefault="00A5067B">
            <w:pPr>
              <w:jc w:val="center"/>
              <w:rPr>
                <w:rFonts w:eastAsia="Calibri"/>
                <w:sz w:val="20"/>
                <w:szCs w:val="20"/>
              </w:rPr>
            </w:pPr>
            <w:r>
              <w:rPr>
                <w:sz w:val="20"/>
              </w:rPr>
              <w:t>Basic</w:t>
            </w:r>
          </w:p>
          <w:sdt>
            <w:sdtPr>
              <w:rPr>
                <w:rFonts w:eastAsia="Arimo"/>
                <w:sz w:val="20"/>
                <w:szCs w:val="20"/>
              </w:rPr>
              <w:id w:val="289709697"/>
              <w14:checkbox>
                <w14:checked w14:val="0"/>
                <w14:checkedState w14:val="2612" w14:font="MS Gothic"/>
                <w14:uncheckedState w14:val="2610" w14:font="MS Gothic"/>
              </w14:checkbox>
            </w:sdtPr>
            <w:sdtEndPr/>
            <w:sdtContent>
              <w:p w14:paraId="099264DD"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343545" w14:textId="77777777" w:rsidR="00A5067B" w:rsidRDefault="00A5067B">
            <w:pPr>
              <w:jc w:val="center"/>
              <w:rPr>
                <w:rFonts w:eastAsia="Calibri"/>
                <w:sz w:val="20"/>
                <w:szCs w:val="20"/>
              </w:rPr>
            </w:pPr>
            <w:r>
              <w:rPr>
                <w:sz w:val="20"/>
              </w:rPr>
              <w:t>Good</w:t>
            </w:r>
          </w:p>
          <w:sdt>
            <w:sdtPr>
              <w:rPr>
                <w:rFonts w:eastAsia="Arimo"/>
                <w:sz w:val="20"/>
                <w:szCs w:val="20"/>
              </w:rPr>
              <w:id w:val="569691678"/>
              <w14:checkbox>
                <w14:checked w14:val="0"/>
                <w14:checkedState w14:val="2612" w14:font="MS Gothic"/>
                <w14:uncheckedState w14:val="2610" w14:font="MS Gothic"/>
              </w14:checkbox>
            </w:sdtPr>
            <w:sdtEndPr/>
            <w:sdtContent>
              <w:p w14:paraId="7DEC80BD" w14:textId="77777777" w:rsidR="00A5067B" w:rsidRDefault="00A5067B">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13C958" w14:textId="77777777" w:rsidR="00A5067B" w:rsidRDefault="00A5067B">
            <w:pPr>
              <w:jc w:val="center"/>
              <w:rPr>
                <w:rFonts w:eastAsia="Calibri"/>
                <w:sz w:val="20"/>
                <w:szCs w:val="20"/>
              </w:rPr>
            </w:pPr>
            <w:r>
              <w:rPr>
                <w:sz w:val="20"/>
              </w:rPr>
              <w:t>Very good</w:t>
            </w:r>
          </w:p>
          <w:sdt>
            <w:sdtPr>
              <w:rPr>
                <w:rFonts w:eastAsia="Arimo"/>
                <w:sz w:val="20"/>
                <w:szCs w:val="20"/>
              </w:rPr>
              <w:id w:val="-1286187338"/>
              <w14:checkbox>
                <w14:checked w14:val="0"/>
                <w14:checkedState w14:val="2612" w14:font="MS Gothic"/>
                <w14:uncheckedState w14:val="2610" w14:font="MS Gothic"/>
              </w14:checkbox>
            </w:sdtPr>
            <w:sdtEndPr/>
            <w:sdtContent>
              <w:p w14:paraId="13202A62"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406BD5A" w14:textId="77777777" w:rsidR="00A5067B" w:rsidRDefault="00A5067B">
            <w:pPr>
              <w:jc w:val="center"/>
              <w:rPr>
                <w:rFonts w:eastAsia="Calibri"/>
                <w:sz w:val="20"/>
                <w:szCs w:val="20"/>
              </w:rPr>
            </w:pPr>
            <w:r>
              <w:rPr>
                <w:sz w:val="20"/>
              </w:rPr>
              <w:t>Excellent</w:t>
            </w:r>
          </w:p>
          <w:sdt>
            <w:sdtPr>
              <w:rPr>
                <w:rFonts w:eastAsia="Arimo"/>
                <w:sz w:val="20"/>
                <w:szCs w:val="20"/>
              </w:rPr>
              <w:id w:val="-751123020"/>
              <w14:checkbox>
                <w14:checked w14:val="0"/>
                <w14:checkedState w14:val="2612" w14:font="MS Gothic"/>
                <w14:uncheckedState w14:val="2610" w14:font="MS Gothic"/>
              </w14:checkbox>
            </w:sdtPr>
            <w:sdtEndPr/>
            <w:sdtContent>
              <w:p w14:paraId="219B180A"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r>
      <w:tr w:rsidR="00A5067B" w14:paraId="4040993E"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5796B0" w14:textId="77777777" w:rsidR="00A5067B" w:rsidRDefault="00A5067B">
            <w:pPr>
              <w:rPr>
                <w:rFonts w:eastAsia="Calibri"/>
                <w:color w:val="005F9A"/>
                <w:sz w:val="20"/>
                <w:szCs w:val="20"/>
              </w:rPr>
            </w:pPr>
            <w:r>
              <w:rPr>
                <w:color w:val="005F9A"/>
                <w:sz w:val="20"/>
              </w:rPr>
              <w:t>Evidence for this assessment criterion:</w:t>
            </w:r>
          </w:p>
          <w:p w14:paraId="563CB394" w14:textId="77777777" w:rsidR="00A5067B" w:rsidRDefault="00A5067B">
            <w:pPr>
              <w:rPr>
                <w:rFonts w:eastAsia="Calibri"/>
                <w:color w:val="0000FF"/>
                <w:sz w:val="20"/>
                <w:szCs w:val="20"/>
              </w:rPr>
            </w:pPr>
          </w:p>
          <w:p w14:paraId="71C22634" w14:textId="77777777" w:rsidR="00A5067B" w:rsidRDefault="00A5067B">
            <w:pPr>
              <w:rPr>
                <w:rFonts w:eastAsia="Calibri"/>
                <w:color w:val="0000FF"/>
                <w:sz w:val="20"/>
                <w:szCs w:val="20"/>
              </w:rPr>
            </w:pPr>
          </w:p>
        </w:tc>
      </w:tr>
    </w:tbl>
    <w:p w14:paraId="0943BF36" w14:textId="77777777" w:rsidR="007A7D4B" w:rsidRPr="00380DC7" w:rsidRDefault="00030988" w:rsidP="00136C6E">
      <w:pPr>
        <w:pStyle w:val="Heading4"/>
      </w:pPr>
      <w:r>
        <w:t xml:space="preserve">Assessment criterion 5: Dedicated resources and staff </w:t>
      </w:r>
    </w:p>
    <w:p w14:paraId="070B2C60" w14:textId="134E618F" w:rsidR="007A7D4B" w:rsidRPr="00380DC7" w:rsidRDefault="00030988" w:rsidP="00BE443B">
      <w:pPr>
        <w:spacing w:line="240" w:lineRule="auto"/>
        <w:rPr>
          <w:sz w:val="20"/>
          <w:szCs w:val="20"/>
        </w:rPr>
      </w:pPr>
      <w:r>
        <w:rPr>
          <w:sz w:val="20"/>
        </w:rPr>
        <w:t xml:space="preserve">Parliament dedicates </w:t>
      </w:r>
      <w:r w:rsidR="00ED4102">
        <w:rPr>
          <w:sz w:val="20"/>
        </w:rPr>
        <w:t xml:space="preserve">sufficient </w:t>
      </w:r>
      <w:r>
        <w:rPr>
          <w:sz w:val="20"/>
        </w:rPr>
        <w:t xml:space="preserve">resources to public </w:t>
      </w:r>
      <w:r w:rsidR="00DC1111">
        <w:rPr>
          <w:sz w:val="20"/>
        </w:rPr>
        <w:t xml:space="preserve">participation </w:t>
      </w:r>
      <w:r>
        <w:rPr>
          <w:sz w:val="20"/>
        </w:rPr>
        <w:t xml:space="preserve">activities. </w:t>
      </w:r>
      <w:r w:rsidR="000D4A94">
        <w:rPr>
          <w:sz w:val="20"/>
        </w:rPr>
        <w:t>Parliament has</w:t>
      </w:r>
      <w:r>
        <w:rPr>
          <w:sz w:val="20"/>
        </w:rPr>
        <w:t xml:space="preserve"> </w:t>
      </w:r>
      <w:r w:rsidR="000D4A94">
        <w:rPr>
          <w:sz w:val="20"/>
        </w:rPr>
        <w:t xml:space="preserve">a dedicated </w:t>
      </w:r>
      <w:r>
        <w:rPr>
          <w:sz w:val="20"/>
        </w:rPr>
        <w:t xml:space="preserve">organizational </w:t>
      </w:r>
      <w:r w:rsidR="00E46CD2">
        <w:rPr>
          <w:sz w:val="20"/>
        </w:rPr>
        <w:t xml:space="preserve">unit </w:t>
      </w:r>
      <w:r w:rsidR="000D4A94">
        <w:rPr>
          <w:sz w:val="20"/>
        </w:rPr>
        <w:t xml:space="preserve">for this purpose, </w:t>
      </w:r>
      <w:r>
        <w:rPr>
          <w:sz w:val="20"/>
        </w:rPr>
        <w:t xml:space="preserve">such as a public participation office, or </w:t>
      </w:r>
      <w:r w:rsidR="000D4A94">
        <w:rPr>
          <w:sz w:val="20"/>
        </w:rPr>
        <w:t xml:space="preserve">has </w:t>
      </w:r>
      <w:r>
        <w:rPr>
          <w:sz w:val="20"/>
        </w:rPr>
        <w:t xml:space="preserve">staff members </w:t>
      </w:r>
      <w:r w:rsidR="000D4A94">
        <w:rPr>
          <w:sz w:val="20"/>
        </w:rPr>
        <w:t>with duties</w:t>
      </w:r>
      <w:r>
        <w:rPr>
          <w:sz w:val="20"/>
        </w:rPr>
        <w:t xml:space="preserve"> related to public participation.</w:t>
      </w:r>
    </w:p>
    <w:p w14:paraId="52B2035D" w14:textId="77777777" w:rsidR="007A7D4B" w:rsidRPr="00380DC7" w:rsidRDefault="007A7D4B" w:rsidP="00BE443B">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5067B" w14:paraId="2F0D4559"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237F23C" w14:textId="77777777" w:rsidR="00A5067B" w:rsidRDefault="00A5067B">
            <w:pPr>
              <w:jc w:val="center"/>
              <w:rPr>
                <w:rFonts w:eastAsia="Calibri"/>
                <w:sz w:val="20"/>
                <w:szCs w:val="20"/>
              </w:rPr>
            </w:pPr>
            <w:r>
              <w:rPr>
                <w:sz w:val="20"/>
              </w:rPr>
              <w:t>Non-existent</w:t>
            </w:r>
          </w:p>
          <w:sdt>
            <w:sdtPr>
              <w:rPr>
                <w:rFonts w:eastAsia="Arimo"/>
                <w:sz w:val="20"/>
                <w:szCs w:val="20"/>
              </w:rPr>
              <w:id w:val="-1494250693"/>
              <w14:checkbox>
                <w14:checked w14:val="0"/>
                <w14:checkedState w14:val="2612" w14:font="MS Gothic"/>
                <w14:uncheckedState w14:val="2610" w14:font="MS Gothic"/>
              </w14:checkbox>
            </w:sdtPr>
            <w:sdtEndPr/>
            <w:sdtContent>
              <w:p w14:paraId="0754AD69" w14:textId="77777777" w:rsidR="00A5067B" w:rsidRDefault="00A5067B">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8D3ECE" w14:textId="77777777" w:rsidR="00A5067B" w:rsidRDefault="00A5067B">
            <w:pPr>
              <w:jc w:val="center"/>
              <w:rPr>
                <w:rFonts w:eastAsia="Calibri"/>
                <w:sz w:val="20"/>
                <w:szCs w:val="20"/>
              </w:rPr>
            </w:pPr>
            <w:r>
              <w:rPr>
                <w:sz w:val="20"/>
              </w:rPr>
              <w:t xml:space="preserve">Rudimentary </w:t>
            </w:r>
          </w:p>
          <w:sdt>
            <w:sdtPr>
              <w:rPr>
                <w:rFonts w:eastAsia="Arimo"/>
                <w:sz w:val="20"/>
                <w:szCs w:val="20"/>
              </w:rPr>
              <w:id w:val="-1155533752"/>
              <w14:checkbox>
                <w14:checked w14:val="0"/>
                <w14:checkedState w14:val="2612" w14:font="MS Gothic"/>
                <w14:uncheckedState w14:val="2610" w14:font="MS Gothic"/>
              </w14:checkbox>
            </w:sdtPr>
            <w:sdtEndPr/>
            <w:sdtContent>
              <w:p w14:paraId="03AF3E61"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F8C509" w14:textId="77777777" w:rsidR="00A5067B" w:rsidRDefault="00A5067B">
            <w:pPr>
              <w:jc w:val="center"/>
              <w:rPr>
                <w:rFonts w:eastAsia="Calibri"/>
                <w:sz w:val="20"/>
                <w:szCs w:val="20"/>
              </w:rPr>
            </w:pPr>
            <w:r>
              <w:rPr>
                <w:sz w:val="20"/>
              </w:rPr>
              <w:t>Basic</w:t>
            </w:r>
          </w:p>
          <w:sdt>
            <w:sdtPr>
              <w:rPr>
                <w:rFonts w:eastAsia="Arimo"/>
                <w:sz w:val="20"/>
                <w:szCs w:val="20"/>
              </w:rPr>
              <w:id w:val="-818653684"/>
              <w14:checkbox>
                <w14:checked w14:val="0"/>
                <w14:checkedState w14:val="2612" w14:font="MS Gothic"/>
                <w14:uncheckedState w14:val="2610" w14:font="MS Gothic"/>
              </w14:checkbox>
            </w:sdtPr>
            <w:sdtEndPr/>
            <w:sdtContent>
              <w:p w14:paraId="06ABD426"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F65C3F" w14:textId="77777777" w:rsidR="00A5067B" w:rsidRDefault="00A5067B">
            <w:pPr>
              <w:jc w:val="center"/>
              <w:rPr>
                <w:rFonts w:eastAsia="Calibri"/>
                <w:sz w:val="20"/>
                <w:szCs w:val="20"/>
              </w:rPr>
            </w:pPr>
            <w:r>
              <w:rPr>
                <w:sz w:val="20"/>
              </w:rPr>
              <w:t>Good</w:t>
            </w:r>
          </w:p>
          <w:sdt>
            <w:sdtPr>
              <w:rPr>
                <w:rFonts w:eastAsia="Arimo"/>
                <w:sz w:val="20"/>
                <w:szCs w:val="20"/>
              </w:rPr>
              <w:id w:val="1468698851"/>
              <w14:checkbox>
                <w14:checked w14:val="0"/>
                <w14:checkedState w14:val="2612" w14:font="MS Gothic"/>
                <w14:uncheckedState w14:val="2610" w14:font="MS Gothic"/>
              </w14:checkbox>
            </w:sdtPr>
            <w:sdtEndPr/>
            <w:sdtContent>
              <w:p w14:paraId="6E3D9754" w14:textId="77777777" w:rsidR="00A5067B" w:rsidRDefault="00A5067B">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E3656E" w14:textId="77777777" w:rsidR="00A5067B" w:rsidRDefault="00A5067B">
            <w:pPr>
              <w:jc w:val="center"/>
              <w:rPr>
                <w:rFonts w:eastAsia="Calibri"/>
                <w:sz w:val="20"/>
                <w:szCs w:val="20"/>
              </w:rPr>
            </w:pPr>
            <w:r>
              <w:rPr>
                <w:sz w:val="20"/>
              </w:rPr>
              <w:t>Very good</w:t>
            </w:r>
          </w:p>
          <w:sdt>
            <w:sdtPr>
              <w:rPr>
                <w:rFonts w:eastAsia="Arimo"/>
                <w:sz w:val="20"/>
                <w:szCs w:val="20"/>
              </w:rPr>
              <w:id w:val="-1325896702"/>
              <w14:checkbox>
                <w14:checked w14:val="0"/>
                <w14:checkedState w14:val="2612" w14:font="MS Gothic"/>
                <w14:uncheckedState w14:val="2610" w14:font="MS Gothic"/>
              </w14:checkbox>
            </w:sdtPr>
            <w:sdtEndPr/>
            <w:sdtContent>
              <w:p w14:paraId="6DB706CC"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18CB826" w14:textId="77777777" w:rsidR="00A5067B" w:rsidRDefault="00A5067B">
            <w:pPr>
              <w:jc w:val="center"/>
              <w:rPr>
                <w:rFonts w:eastAsia="Calibri"/>
                <w:sz w:val="20"/>
                <w:szCs w:val="20"/>
              </w:rPr>
            </w:pPr>
            <w:r>
              <w:rPr>
                <w:sz w:val="20"/>
              </w:rPr>
              <w:t>Excellent</w:t>
            </w:r>
          </w:p>
          <w:sdt>
            <w:sdtPr>
              <w:rPr>
                <w:rFonts w:eastAsia="Arimo"/>
                <w:sz w:val="20"/>
                <w:szCs w:val="20"/>
              </w:rPr>
              <w:id w:val="-472757561"/>
              <w14:checkbox>
                <w14:checked w14:val="0"/>
                <w14:checkedState w14:val="2612" w14:font="MS Gothic"/>
                <w14:uncheckedState w14:val="2610" w14:font="MS Gothic"/>
              </w14:checkbox>
            </w:sdtPr>
            <w:sdtEndPr/>
            <w:sdtContent>
              <w:p w14:paraId="2E813CFB"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r>
      <w:tr w:rsidR="00A5067B" w14:paraId="2159850A"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2A2AD8" w14:textId="77777777" w:rsidR="00A5067B" w:rsidRDefault="00A5067B">
            <w:pPr>
              <w:rPr>
                <w:rFonts w:eastAsia="Calibri"/>
                <w:color w:val="005F9A"/>
                <w:sz w:val="20"/>
                <w:szCs w:val="20"/>
              </w:rPr>
            </w:pPr>
            <w:r>
              <w:rPr>
                <w:color w:val="005F9A"/>
                <w:sz w:val="20"/>
              </w:rPr>
              <w:t>Evidence for this assessment criterion:</w:t>
            </w:r>
          </w:p>
          <w:p w14:paraId="0BBA6D33" w14:textId="77777777" w:rsidR="00A5067B" w:rsidRDefault="00A5067B">
            <w:pPr>
              <w:rPr>
                <w:rFonts w:eastAsia="Calibri"/>
                <w:color w:val="0000FF"/>
                <w:sz w:val="20"/>
                <w:szCs w:val="20"/>
              </w:rPr>
            </w:pPr>
          </w:p>
          <w:p w14:paraId="09FBF102" w14:textId="77777777" w:rsidR="00A5067B" w:rsidRDefault="00A5067B">
            <w:pPr>
              <w:rPr>
                <w:rFonts w:eastAsia="Calibri"/>
                <w:color w:val="0000FF"/>
                <w:sz w:val="20"/>
                <w:szCs w:val="20"/>
              </w:rPr>
            </w:pPr>
          </w:p>
        </w:tc>
      </w:tr>
    </w:tbl>
    <w:p w14:paraId="025183AA" w14:textId="77777777" w:rsidR="00A5067B" w:rsidRPr="00DC1D74" w:rsidRDefault="00A5067B" w:rsidP="00DC1D74">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A5067B" w:rsidRPr="00DC1D74" w14:paraId="5D9B7784" w14:textId="77777777" w:rsidTr="00A5067B">
        <w:trPr>
          <w:trHeight w:val="1440"/>
        </w:trPr>
        <w:tc>
          <w:tcPr>
            <w:tcW w:w="5000" w:type="pct"/>
            <w:tcBorders>
              <w:top w:val="single" w:sz="4" w:space="0" w:color="auto"/>
              <w:left w:val="single" w:sz="4" w:space="0" w:color="auto"/>
              <w:bottom w:val="single" w:sz="4" w:space="0" w:color="auto"/>
              <w:right w:val="single" w:sz="4" w:space="0" w:color="auto"/>
            </w:tcBorders>
          </w:tcPr>
          <w:p w14:paraId="0C34B8A0" w14:textId="6CDEBA0E" w:rsidR="00A5067B" w:rsidRPr="00DC1D74" w:rsidRDefault="00DC1D74" w:rsidP="00DC1D74">
            <w:pPr>
              <w:rPr>
                <w:sz w:val="20"/>
                <w:szCs w:val="20"/>
              </w:rPr>
            </w:pPr>
            <w:r>
              <w:rPr>
                <w:i/>
                <w:sz w:val="20"/>
                <w:shd w:val="clear" w:color="auto" w:fill="FFFFFF"/>
              </w:rPr>
              <w:t xml:space="preserve">Use this space to note down recommendations and ideas for strengthening </w:t>
            </w:r>
            <w:r w:rsidR="007F48AB">
              <w:rPr>
                <w:i/>
                <w:sz w:val="20"/>
                <w:shd w:val="clear" w:color="auto" w:fill="FFFFFF"/>
              </w:rPr>
              <w:t>rules and practice in this area.</w:t>
            </w:r>
          </w:p>
        </w:tc>
      </w:tr>
    </w:tbl>
    <w:p w14:paraId="3044E5ED" w14:textId="17CF5C9A" w:rsidR="00A5067B" w:rsidRDefault="00A5067B" w:rsidP="00A5067B">
      <w:pPr>
        <w:pStyle w:val="section-title"/>
      </w:pPr>
      <w:r>
        <w:t xml:space="preserve">Sources </w:t>
      </w:r>
      <w:r w:rsidR="00D560BF">
        <w:t>and</w:t>
      </w:r>
      <w:r>
        <w:t xml:space="preserve"> further reading</w:t>
      </w:r>
    </w:p>
    <w:p w14:paraId="5E357DA0" w14:textId="37949A6E" w:rsidR="007A7D4B" w:rsidRPr="00380DC7" w:rsidRDefault="00030988" w:rsidP="00A5067B">
      <w:pPr>
        <w:numPr>
          <w:ilvl w:val="0"/>
          <w:numId w:val="4"/>
        </w:numPr>
        <w:spacing w:line="240" w:lineRule="auto"/>
        <w:ind w:left="562" w:hanging="562"/>
        <w:rPr>
          <w:sz w:val="20"/>
          <w:szCs w:val="20"/>
        </w:rPr>
      </w:pPr>
      <w:bookmarkStart w:id="20" w:name="_Hlk147308455"/>
      <w:r>
        <w:rPr>
          <w:sz w:val="20"/>
        </w:rPr>
        <w:t>David Beetham,</w:t>
      </w:r>
      <w:hyperlink r:id="rId16">
        <w:r>
          <w:rPr>
            <w:sz w:val="20"/>
          </w:rPr>
          <w:t xml:space="preserve"> </w:t>
        </w:r>
      </w:hyperlink>
      <w:hyperlink r:id="rId17">
        <w:r>
          <w:rPr>
            <w:i/>
            <w:color w:val="0563C1"/>
            <w:sz w:val="20"/>
            <w:u w:val="single"/>
          </w:rPr>
          <w:t>Parliament and democracy in the twenty-first century:</w:t>
        </w:r>
      </w:hyperlink>
      <w:hyperlink r:id="rId18">
        <w:r>
          <w:rPr>
            <w:i/>
            <w:color w:val="0563C1"/>
            <w:sz w:val="20"/>
            <w:u w:val="single"/>
          </w:rPr>
          <w:t xml:space="preserve"> A guide to good practice</w:t>
        </w:r>
      </w:hyperlink>
      <w:r>
        <w:rPr>
          <w:sz w:val="20"/>
        </w:rPr>
        <w:t xml:space="preserve"> (2006).</w:t>
      </w:r>
    </w:p>
    <w:p w14:paraId="45215CBC" w14:textId="0E5D5A52" w:rsidR="007A7D4B" w:rsidRPr="00380DC7" w:rsidRDefault="00030988" w:rsidP="00A5067B">
      <w:pPr>
        <w:numPr>
          <w:ilvl w:val="0"/>
          <w:numId w:val="4"/>
        </w:numPr>
        <w:spacing w:line="240" w:lineRule="auto"/>
        <w:ind w:left="562" w:hanging="562"/>
        <w:rPr>
          <w:sz w:val="20"/>
          <w:szCs w:val="20"/>
        </w:rPr>
      </w:pPr>
      <w:r>
        <w:rPr>
          <w:sz w:val="20"/>
        </w:rPr>
        <w:t>Commonwealth Parliamentary Association (CPA),</w:t>
      </w:r>
      <w:hyperlink r:id="rId19">
        <w:r>
          <w:rPr>
            <w:sz w:val="20"/>
          </w:rPr>
          <w:t xml:space="preserve"> </w:t>
        </w:r>
      </w:hyperlink>
      <w:hyperlink r:id="rId20">
        <w:r>
          <w:rPr>
            <w:i/>
            <w:color w:val="1155CC"/>
            <w:sz w:val="20"/>
            <w:u w:val="single"/>
          </w:rPr>
          <w:t>Recommended Benchmarks for Democratic Legislators</w:t>
        </w:r>
      </w:hyperlink>
      <w:r w:rsidR="00467442">
        <w:rPr>
          <w:sz w:val="20"/>
        </w:rPr>
        <w:t xml:space="preserve">, revised edition </w:t>
      </w:r>
      <w:r>
        <w:rPr>
          <w:sz w:val="20"/>
        </w:rPr>
        <w:t>(2018).</w:t>
      </w:r>
    </w:p>
    <w:p w14:paraId="2BEF6A92" w14:textId="031A427F" w:rsidR="007A7D4B" w:rsidRPr="00380DC7" w:rsidRDefault="00030988" w:rsidP="00A5067B">
      <w:pPr>
        <w:numPr>
          <w:ilvl w:val="0"/>
          <w:numId w:val="4"/>
        </w:numPr>
        <w:spacing w:line="240" w:lineRule="auto"/>
        <w:ind w:left="562" w:hanging="562"/>
        <w:rPr>
          <w:sz w:val="20"/>
          <w:szCs w:val="20"/>
        </w:rPr>
      </w:pPr>
      <w:r>
        <w:rPr>
          <w:sz w:val="20"/>
        </w:rPr>
        <w:t xml:space="preserve">National Democratic Institute (NDI), </w:t>
      </w:r>
      <w:hyperlink r:id="rId21">
        <w:r>
          <w:rPr>
            <w:i/>
            <w:color w:val="1155CC"/>
            <w:sz w:val="20"/>
            <w:u w:val="single"/>
          </w:rPr>
          <w:t>Toward the Development of International Standards for Democratic Legislatures</w:t>
        </w:r>
      </w:hyperlink>
      <w:r>
        <w:rPr>
          <w:sz w:val="20"/>
        </w:rPr>
        <w:t xml:space="preserve"> (2007).</w:t>
      </w:r>
    </w:p>
    <w:p w14:paraId="1AD82774" w14:textId="77777777" w:rsidR="007A7D4B" w:rsidRPr="00380DC7" w:rsidRDefault="007A7D4B" w:rsidP="00BE443B">
      <w:pPr>
        <w:spacing w:line="240" w:lineRule="auto"/>
        <w:rPr>
          <w:sz w:val="20"/>
          <w:szCs w:val="20"/>
        </w:rPr>
      </w:pPr>
    </w:p>
    <w:bookmarkEnd w:id="20"/>
    <w:p w14:paraId="01313410" w14:textId="43C45A51" w:rsidR="007A7D4B" w:rsidRPr="00380DC7" w:rsidRDefault="007A7D4B" w:rsidP="003B619E">
      <w:pPr>
        <w:spacing w:line="240" w:lineRule="auto"/>
      </w:pPr>
    </w:p>
    <w:p w14:paraId="57A70095" w14:textId="4EDF938B" w:rsidR="007A7D4B" w:rsidRPr="00380DC7" w:rsidRDefault="00030988" w:rsidP="005C2D81">
      <w:pPr>
        <w:pStyle w:val="Heading3"/>
      </w:pPr>
      <w:bookmarkStart w:id="21" w:name="_h65259k0vvrr"/>
      <w:bookmarkEnd w:id="21"/>
      <w:r>
        <w:lastRenderedPageBreak/>
        <w:t>Dimension 6.1.3: Public education about the work of parliament</w:t>
      </w:r>
    </w:p>
    <w:tbl>
      <w:tblPr>
        <w:tblStyle w:val="TableGrid"/>
        <w:tblW w:w="0" w:type="auto"/>
        <w:shd w:val="clear" w:color="auto" w:fill="EEEEEE"/>
        <w:tblLook w:val="04A0" w:firstRow="1" w:lastRow="0" w:firstColumn="1" w:lastColumn="0" w:noHBand="0" w:noVBand="1"/>
      </w:tblPr>
      <w:tblGrid>
        <w:gridCol w:w="9120"/>
      </w:tblGrid>
      <w:tr w:rsidR="00EA4368" w14:paraId="0172396C" w14:textId="77777777" w:rsidTr="00520551">
        <w:tc>
          <w:tcPr>
            <w:tcW w:w="9350" w:type="dxa"/>
            <w:shd w:val="clear" w:color="auto" w:fill="EEEEEE"/>
          </w:tcPr>
          <w:p w14:paraId="3CCE4BDE" w14:textId="2175C14E" w:rsidR="00EA4368" w:rsidRPr="00DD2EB3" w:rsidRDefault="00EA4368" w:rsidP="00BE443B">
            <w:pPr>
              <w:rPr>
                <w:rFonts w:eastAsia="Arial" w:cs="Arial"/>
                <w:sz w:val="20"/>
                <w:szCs w:val="20"/>
              </w:rPr>
            </w:pPr>
            <w:r>
              <w:rPr>
                <w:sz w:val="20"/>
              </w:rPr>
              <w:t>This dimension is part of:</w:t>
            </w:r>
          </w:p>
          <w:p w14:paraId="51414CA1" w14:textId="77777777" w:rsidR="00EA4368" w:rsidRPr="00DD2EB3" w:rsidRDefault="00EA4368" w:rsidP="00877354">
            <w:pPr>
              <w:pStyle w:val="ListParagraph"/>
            </w:pPr>
            <w:r>
              <w:t>Indicator 6.1: Parliamentary environment for public participation</w:t>
            </w:r>
          </w:p>
          <w:p w14:paraId="298C2B9F" w14:textId="4B7174D5" w:rsidR="00EA4368" w:rsidRPr="00DD2EB3" w:rsidRDefault="00245289" w:rsidP="00245289">
            <w:pPr>
              <w:pStyle w:val="ListParagraph"/>
              <w:rPr>
                <w:sz w:val="24"/>
              </w:rPr>
            </w:pPr>
            <w:r w:rsidRPr="00B31823">
              <w:t xml:space="preserve">Target </w:t>
            </w:r>
            <w:r w:rsidR="00EA4368">
              <w:t>6: Participatory parliament</w:t>
            </w:r>
          </w:p>
        </w:tc>
      </w:tr>
    </w:tbl>
    <w:p w14:paraId="1611A2BA" w14:textId="77777777" w:rsidR="007A7D4B" w:rsidRPr="00A5067B" w:rsidRDefault="00030988" w:rsidP="00A5067B">
      <w:pPr>
        <w:pStyle w:val="section-title"/>
      </w:pPr>
      <w:r>
        <w:t>About this dimension</w:t>
      </w:r>
    </w:p>
    <w:p w14:paraId="3D9C7FC8" w14:textId="6A81E9E2" w:rsidR="007A7D4B" w:rsidRPr="00380DC7" w:rsidRDefault="0008027E" w:rsidP="00BE443B">
      <w:pPr>
        <w:spacing w:line="240" w:lineRule="auto"/>
        <w:rPr>
          <w:sz w:val="20"/>
          <w:szCs w:val="20"/>
        </w:rPr>
      </w:pPr>
      <w:r>
        <w:rPr>
          <w:sz w:val="20"/>
        </w:rPr>
        <w:t>This dimension</w:t>
      </w:r>
      <w:r w:rsidR="00030988">
        <w:rPr>
          <w:sz w:val="20"/>
        </w:rPr>
        <w:t xml:space="preserve"> focuses on parliament</w:t>
      </w:r>
      <w:r w:rsidR="00EF13EB">
        <w:rPr>
          <w:sz w:val="20"/>
        </w:rPr>
        <w:t>’s</w:t>
      </w:r>
      <w:r w:rsidR="00030988">
        <w:rPr>
          <w:sz w:val="20"/>
        </w:rPr>
        <w:t xml:space="preserve"> efforts </w:t>
      </w:r>
      <w:r w:rsidR="00EF13EB">
        <w:rPr>
          <w:sz w:val="20"/>
        </w:rPr>
        <w:t xml:space="preserve">to </w:t>
      </w:r>
      <w:r w:rsidR="00030988">
        <w:rPr>
          <w:sz w:val="20"/>
        </w:rPr>
        <w:t>increas</w:t>
      </w:r>
      <w:r w:rsidR="00EF13EB">
        <w:rPr>
          <w:sz w:val="20"/>
        </w:rPr>
        <w:t>e</w:t>
      </w:r>
      <w:r w:rsidR="00030988">
        <w:rPr>
          <w:sz w:val="20"/>
        </w:rPr>
        <w:t xml:space="preserve"> public understanding of </w:t>
      </w:r>
      <w:r w:rsidR="00EF13EB">
        <w:rPr>
          <w:sz w:val="20"/>
        </w:rPr>
        <w:t xml:space="preserve">its </w:t>
      </w:r>
      <w:r w:rsidR="00030988">
        <w:rPr>
          <w:sz w:val="20"/>
        </w:rPr>
        <w:t xml:space="preserve">role and work. </w:t>
      </w:r>
      <w:proofErr w:type="gramStart"/>
      <w:r w:rsidR="00030988">
        <w:rPr>
          <w:sz w:val="20"/>
        </w:rPr>
        <w:t>In order to</w:t>
      </w:r>
      <w:proofErr w:type="gramEnd"/>
      <w:r w:rsidR="00030988">
        <w:rPr>
          <w:sz w:val="20"/>
        </w:rPr>
        <w:t xml:space="preserve"> maximi</w:t>
      </w:r>
      <w:r w:rsidR="007174A5">
        <w:rPr>
          <w:sz w:val="20"/>
        </w:rPr>
        <w:t>z</w:t>
      </w:r>
      <w:r w:rsidR="00030988">
        <w:rPr>
          <w:sz w:val="20"/>
        </w:rPr>
        <w:t xml:space="preserve">e participation, the public should know </w:t>
      </w:r>
      <w:r w:rsidR="000513DC">
        <w:rPr>
          <w:sz w:val="20"/>
        </w:rPr>
        <w:t xml:space="preserve">not just </w:t>
      </w:r>
      <w:r w:rsidR="00030988">
        <w:rPr>
          <w:sz w:val="20"/>
        </w:rPr>
        <w:t>where and when parliamentary processes take place, but also how they can participate</w:t>
      </w:r>
      <w:r w:rsidR="000513DC">
        <w:rPr>
          <w:sz w:val="20"/>
        </w:rPr>
        <w:t xml:space="preserve"> in</w:t>
      </w:r>
      <w:r w:rsidR="00030988">
        <w:rPr>
          <w:sz w:val="20"/>
        </w:rPr>
        <w:t xml:space="preserve"> and influence decision-making. These efforts</w:t>
      </w:r>
      <w:r w:rsidR="00A901BF">
        <w:rPr>
          <w:sz w:val="20"/>
        </w:rPr>
        <w:t>, which</w:t>
      </w:r>
      <w:r w:rsidR="00030988">
        <w:rPr>
          <w:sz w:val="20"/>
        </w:rPr>
        <w:t xml:space="preserve"> aim to ensure an active citizenry, </w:t>
      </w:r>
      <w:r w:rsidR="00A901BF">
        <w:rPr>
          <w:sz w:val="20"/>
        </w:rPr>
        <w:t>should</w:t>
      </w:r>
      <w:r w:rsidR="00030988">
        <w:rPr>
          <w:sz w:val="20"/>
        </w:rPr>
        <w:t xml:space="preserve"> be non-partisan and </w:t>
      </w:r>
      <w:r w:rsidR="00A901BF">
        <w:rPr>
          <w:sz w:val="20"/>
        </w:rPr>
        <w:t xml:space="preserve">should </w:t>
      </w:r>
      <w:r w:rsidR="00030988">
        <w:rPr>
          <w:sz w:val="20"/>
        </w:rPr>
        <w:t>promote the basic principles of democracy.</w:t>
      </w:r>
    </w:p>
    <w:p w14:paraId="37DEE234" w14:textId="77777777" w:rsidR="007A7D4B" w:rsidRPr="00380DC7" w:rsidRDefault="007A7D4B" w:rsidP="00BE443B">
      <w:pPr>
        <w:spacing w:line="240" w:lineRule="auto"/>
        <w:rPr>
          <w:sz w:val="20"/>
          <w:szCs w:val="20"/>
        </w:rPr>
      </w:pPr>
    </w:p>
    <w:p w14:paraId="7C98AC12" w14:textId="38B29CDA" w:rsidR="007A7D4B" w:rsidRPr="00380DC7" w:rsidRDefault="00030988" w:rsidP="00BE443B">
      <w:pPr>
        <w:spacing w:line="240" w:lineRule="auto"/>
        <w:rPr>
          <w:sz w:val="20"/>
          <w:szCs w:val="20"/>
        </w:rPr>
      </w:pPr>
      <w:r>
        <w:rPr>
          <w:sz w:val="20"/>
        </w:rPr>
        <w:t xml:space="preserve">Public </w:t>
      </w:r>
      <w:r w:rsidR="00554921">
        <w:rPr>
          <w:sz w:val="20"/>
        </w:rPr>
        <w:t>education</w:t>
      </w:r>
      <w:r>
        <w:rPr>
          <w:sz w:val="20"/>
        </w:rPr>
        <w:t xml:space="preserve"> can take many forms, including direct interaction by MPs with the public through their constituencies, or opportunities to engage or visit parliament and its offices. </w:t>
      </w:r>
      <w:r w:rsidR="00C52E7E">
        <w:rPr>
          <w:sz w:val="20"/>
        </w:rPr>
        <w:t>D</w:t>
      </w:r>
      <w:r>
        <w:rPr>
          <w:sz w:val="20"/>
        </w:rPr>
        <w:t xml:space="preserve">ifferent groups </w:t>
      </w:r>
      <w:r w:rsidR="00C52E7E">
        <w:rPr>
          <w:sz w:val="20"/>
        </w:rPr>
        <w:t>within the community can also be targeted</w:t>
      </w:r>
      <w:r>
        <w:rPr>
          <w:sz w:val="20"/>
        </w:rPr>
        <w:t xml:space="preserve">. </w:t>
      </w:r>
    </w:p>
    <w:p w14:paraId="080E1DD0" w14:textId="77777777" w:rsidR="007A7D4B" w:rsidRPr="00A5067B" w:rsidRDefault="00380DC7" w:rsidP="00A5067B">
      <w:pPr>
        <w:pStyle w:val="section-title"/>
      </w:pPr>
      <w:r>
        <w:t>Aspiring goal</w:t>
      </w:r>
    </w:p>
    <w:tbl>
      <w:tblPr>
        <w:tblStyle w:val="ac"/>
        <w:tblW w:w="5000" w:type="pct"/>
        <w:shd w:val="clear" w:color="auto" w:fill="EEEEEE"/>
        <w:tblLook w:val="0400" w:firstRow="0" w:lastRow="0" w:firstColumn="0" w:lastColumn="0" w:noHBand="0" w:noVBand="1"/>
      </w:tblPr>
      <w:tblGrid>
        <w:gridCol w:w="9120"/>
      </w:tblGrid>
      <w:tr w:rsidR="007A7D4B" w:rsidRPr="00380DC7" w14:paraId="33C8E995" w14:textId="77777777" w:rsidTr="00A5067B">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209A5E00" w14:textId="0609555A" w:rsidR="007A7D4B" w:rsidRPr="00A5067B" w:rsidRDefault="00380DC7" w:rsidP="00BE443B">
            <w:pPr>
              <w:spacing w:line="240" w:lineRule="auto"/>
              <w:rPr>
                <w:i/>
                <w:sz w:val="20"/>
                <w:szCs w:val="20"/>
              </w:rPr>
            </w:pPr>
            <w:r>
              <w:rPr>
                <w:i/>
                <w:sz w:val="20"/>
              </w:rPr>
              <w:t xml:space="preserve">Based on a global comparative analysis, an aspiring goal for parliaments </w:t>
            </w:r>
            <w:proofErr w:type="gramStart"/>
            <w:r>
              <w:rPr>
                <w:i/>
                <w:sz w:val="20"/>
              </w:rPr>
              <w:t>in the area of</w:t>
            </w:r>
            <w:proofErr w:type="gramEnd"/>
            <w:r>
              <w:rPr>
                <w:i/>
                <w:sz w:val="20"/>
              </w:rPr>
              <w:t xml:space="preserve"> </w:t>
            </w:r>
            <w:r w:rsidR="00A85A09">
              <w:rPr>
                <w:i/>
                <w:sz w:val="20"/>
              </w:rPr>
              <w:t>“</w:t>
            </w:r>
            <w:r>
              <w:rPr>
                <w:i/>
                <w:sz w:val="20"/>
              </w:rPr>
              <w:t>public education about the work of parliament</w:t>
            </w:r>
            <w:r w:rsidR="00A85A09">
              <w:rPr>
                <w:i/>
                <w:sz w:val="20"/>
              </w:rPr>
              <w:t>”</w:t>
            </w:r>
            <w:r>
              <w:rPr>
                <w:i/>
                <w:sz w:val="20"/>
              </w:rPr>
              <w:t xml:space="preserve"> is as follows:</w:t>
            </w:r>
          </w:p>
          <w:p w14:paraId="5D14EAA2" w14:textId="77777777" w:rsidR="00380DC7" w:rsidRPr="00A5067B" w:rsidRDefault="00380DC7" w:rsidP="00BE443B">
            <w:pPr>
              <w:spacing w:line="240" w:lineRule="auto"/>
              <w:rPr>
                <w:sz w:val="20"/>
                <w:szCs w:val="20"/>
              </w:rPr>
            </w:pPr>
          </w:p>
          <w:p w14:paraId="5C4E896A" w14:textId="47573750" w:rsidR="007A7D4B" w:rsidRPr="00A5067B" w:rsidRDefault="00030988" w:rsidP="00BE443B">
            <w:pPr>
              <w:spacing w:line="240" w:lineRule="auto"/>
              <w:rPr>
                <w:sz w:val="20"/>
                <w:szCs w:val="20"/>
              </w:rPr>
            </w:pPr>
            <w:r>
              <w:rPr>
                <w:sz w:val="20"/>
              </w:rPr>
              <w:t>Parliament has infrastructure, policies</w:t>
            </w:r>
            <w:r w:rsidR="00554921">
              <w:rPr>
                <w:sz w:val="20"/>
              </w:rPr>
              <w:t xml:space="preserve">, </w:t>
            </w:r>
            <w:proofErr w:type="gramStart"/>
            <w:r w:rsidR="00554921">
              <w:rPr>
                <w:sz w:val="20"/>
              </w:rPr>
              <w:t>programmes</w:t>
            </w:r>
            <w:proofErr w:type="gramEnd"/>
            <w:r>
              <w:rPr>
                <w:sz w:val="20"/>
              </w:rPr>
              <w:t xml:space="preserve"> and materials </w:t>
            </w:r>
            <w:r w:rsidR="00A85A09">
              <w:rPr>
                <w:sz w:val="20"/>
              </w:rPr>
              <w:t>in place to educate the public about</w:t>
            </w:r>
            <w:r>
              <w:rPr>
                <w:sz w:val="20"/>
              </w:rPr>
              <w:t xml:space="preserve"> </w:t>
            </w:r>
            <w:r w:rsidR="00EA47CC">
              <w:rPr>
                <w:sz w:val="20"/>
              </w:rPr>
              <w:t xml:space="preserve">its </w:t>
            </w:r>
            <w:r>
              <w:rPr>
                <w:sz w:val="20"/>
              </w:rPr>
              <w:t xml:space="preserve">work. </w:t>
            </w:r>
            <w:r w:rsidR="00554921">
              <w:rPr>
                <w:sz w:val="20"/>
              </w:rPr>
              <w:t xml:space="preserve">Public education aims to improve the breadth and depth of public understanding of parliament and includes </w:t>
            </w:r>
            <w:r>
              <w:rPr>
                <w:sz w:val="20"/>
              </w:rPr>
              <w:t>information about the role of parliament</w:t>
            </w:r>
            <w:r w:rsidR="00900C21">
              <w:rPr>
                <w:sz w:val="20"/>
              </w:rPr>
              <w:t>,</w:t>
            </w:r>
            <w:r>
              <w:rPr>
                <w:sz w:val="20"/>
              </w:rPr>
              <w:t xml:space="preserve"> as well as about the work that takes place in parliament and how to engage in it.</w:t>
            </w:r>
          </w:p>
          <w:p w14:paraId="4BFA98CD" w14:textId="77777777" w:rsidR="007A7D4B" w:rsidRPr="00A5067B" w:rsidRDefault="007A7D4B" w:rsidP="00BE443B">
            <w:pPr>
              <w:spacing w:line="240" w:lineRule="auto"/>
              <w:rPr>
                <w:sz w:val="20"/>
                <w:szCs w:val="20"/>
              </w:rPr>
            </w:pPr>
          </w:p>
          <w:p w14:paraId="67C4BC86" w14:textId="05CD0B2F" w:rsidR="007A7D4B" w:rsidRPr="00A5067B" w:rsidRDefault="00030988" w:rsidP="00BE443B">
            <w:pPr>
              <w:spacing w:line="240" w:lineRule="auto"/>
              <w:rPr>
                <w:sz w:val="20"/>
                <w:szCs w:val="20"/>
              </w:rPr>
            </w:pPr>
            <w:r>
              <w:rPr>
                <w:sz w:val="20"/>
              </w:rPr>
              <w:t>Public education programmes are provided nationwide</w:t>
            </w:r>
            <w:r w:rsidR="00554921">
              <w:rPr>
                <w:sz w:val="20"/>
              </w:rPr>
              <w:t xml:space="preserve"> and are designed to reach a broad range of stakeholders</w:t>
            </w:r>
            <w:r>
              <w:rPr>
                <w:sz w:val="20"/>
              </w:rPr>
              <w:t>, including</w:t>
            </w:r>
            <w:r w:rsidR="00900C21">
              <w:rPr>
                <w:sz w:val="20"/>
              </w:rPr>
              <w:t xml:space="preserve"> hard-to-reach</w:t>
            </w:r>
            <w:r>
              <w:rPr>
                <w:sz w:val="20"/>
              </w:rPr>
              <w:t xml:space="preserve"> communities</w:t>
            </w:r>
            <w:r w:rsidR="00900C21">
              <w:rPr>
                <w:sz w:val="20"/>
              </w:rPr>
              <w:t>.</w:t>
            </w:r>
            <w:r>
              <w:rPr>
                <w:sz w:val="20"/>
              </w:rPr>
              <w:t xml:space="preserve"> </w:t>
            </w:r>
            <w:r w:rsidR="00900C21">
              <w:rPr>
                <w:sz w:val="20"/>
              </w:rPr>
              <w:t>T</w:t>
            </w:r>
            <w:r>
              <w:rPr>
                <w:sz w:val="20"/>
              </w:rPr>
              <w:t xml:space="preserve">hey are </w:t>
            </w:r>
            <w:r w:rsidR="00900C21">
              <w:rPr>
                <w:sz w:val="20"/>
              </w:rPr>
              <w:t>non-partisan</w:t>
            </w:r>
            <w:r>
              <w:rPr>
                <w:sz w:val="20"/>
              </w:rPr>
              <w:t xml:space="preserve"> and focus on promoting </w:t>
            </w:r>
            <w:r w:rsidR="000900F8">
              <w:rPr>
                <w:sz w:val="20"/>
              </w:rPr>
              <w:t>the basic principles of democracy</w:t>
            </w:r>
            <w:r>
              <w:rPr>
                <w:sz w:val="20"/>
              </w:rPr>
              <w:t>.</w:t>
            </w:r>
          </w:p>
          <w:p w14:paraId="01814889" w14:textId="77777777" w:rsidR="007A7D4B" w:rsidRPr="00A5067B" w:rsidRDefault="007A7D4B" w:rsidP="00BE443B">
            <w:pPr>
              <w:spacing w:line="240" w:lineRule="auto"/>
              <w:rPr>
                <w:sz w:val="20"/>
                <w:szCs w:val="20"/>
              </w:rPr>
            </w:pPr>
          </w:p>
          <w:p w14:paraId="57C859CE" w14:textId="5D997052" w:rsidR="007A7D4B" w:rsidRPr="00A5067B" w:rsidRDefault="00D17A95" w:rsidP="00BE443B">
            <w:pPr>
              <w:spacing w:line="240" w:lineRule="auto"/>
              <w:rPr>
                <w:sz w:val="20"/>
                <w:szCs w:val="20"/>
              </w:rPr>
            </w:pPr>
            <w:r>
              <w:rPr>
                <w:sz w:val="20"/>
              </w:rPr>
              <w:t>Public e</w:t>
            </w:r>
            <w:r w:rsidR="00030988">
              <w:rPr>
                <w:sz w:val="20"/>
              </w:rPr>
              <w:t>ducation program</w:t>
            </w:r>
            <w:r w:rsidR="007174A5">
              <w:rPr>
                <w:sz w:val="20"/>
              </w:rPr>
              <w:t>mes</w:t>
            </w:r>
            <w:r w:rsidR="00030988">
              <w:rPr>
                <w:sz w:val="20"/>
              </w:rPr>
              <w:t xml:space="preserve"> provide opportunities to access parliamentary premises and observe </w:t>
            </w:r>
            <w:r>
              <w:rPr>
                <w:sz w:val="20"/>
              </w:rPr>
              <w:t xml:space="preserve">the </w:t>
            </w:r>
            <w:r w:rsidR="00030988">
              <w:rPr>
                <w:sz w:val="20"/>
              </w:rPr>
              <w:t>work of parliament in person</w:t>
            </w:r>
            <w:r>
              <w:rPr>
                <w:sz w:val="20"/>
              </w:rPr>
              <w:t>. They are also</w:t>
            </w:r>
            <w:r w:rsidR="00030988">
              <w:rPr>
                <w:sz w:val="20"/>
              </w:rPr>
              <w:t xml:space="preserve"> available remotely.</w:t>
            </w:r>
          </w:p>
          <w:p w14:paraId="3C2A09DB" w14:textId="77777777" w:rsidR="007A7D4B" w:rsidRPr="00380DC7" w:rsidRDefault="007A7D4B" w:rsidP="00BE443B">
            <w:pPr>
              <w:spacing w:line="240" w:lineRule="auto"/>
              <w:rPr>
                <w:sz w:val="20"/>
                <w:szCs w:val="20"/>
              </w:rPr>
            </w:pPr>
          </w:p>
        </w:tc>
      </w:tr>
    </w:tbl>
    <w:p w14:paraId="3DB5B67F" w14:textId="77777777" w:rsidR="007A7D4B" w:rsidRPr="00380DC7" w:rsidRDefault="00030988" w:rsidP="00A5067B">
      <w:pPr>
        <w:pStyle w:val="section-title"/>
      </w:pPr>
      <w:bookmarkStart w:id="22" w:name="_2dlolyb"/>
      <w:bookmarkEnd w:id="22"/>
      <w:r>
        <w:t>Assessment</w:t>
      </w:r>
    </w:p>
    <w:p w14:paraId="7F26F6E8" w14:textId="3DC66706" w:rsidR="007A7D4B" w:rsidRDefault="00030988" w:rsidP="00BE443B">
      <w:pPr>
        <w:spacing w:line="240" w:lineRule="auto"/>
        <w:rPr>
          <w:sz w:val="20"/>
          <w:szCs w:val="20"/>
        </w:rPr>
      </w:pPr>
      <w:r>
        <w:rPr>
          <w:sz w:val="20"/>
        </w:rPr>
        <w:t>Th</w:t>
      </w:r>
      <w:r w:rsidR="00FB6840">
        <w:rPr>
          <w:sz w:val="20"/>
        </w:rPr>
        <w:t>is</w:t>
      </w:r>
      <w:r>
        <w:rPr>
          <w:sz w:val="20"/>
        </w:rPr>
        <w:t xml:space="preserve"> dimension is assessed against several criteria, each of which should be evaluated separately. For each criterion, select one of the six descriptive grades (Non-existent, Rudimentary, Basic, Good, </w:t>
      </w:r>
      <w:proofErr w:type="gramStart"/>
      <w:r>
        <w:rPr>
          <w:sz w:val="20"/>
        </w:rPr>
        <w:t>Very</w:t>
      </w:r>
      <w:proofErr w:type="gramEnd"/>
      <w:r>
        <w:rPr>
          <w:sz w:val="20"/>
        </w:rPr>
        <w:t xml:space="preserve"> good and Excellent) that best reflects the situation in your parliament, and provide details of the evidence on which this assessment is based. </w:t>
      </w:r>
    </w:p>
    <w:p w14:paraId="14DB1B25" w14:textId="77777777" w:rsidR="00A5067B" w:rsidRPr="00380DC7" w:rsidRDefault="00A5067B" w:rsidP="00BE443B">
      <w:pPr>
        <w:spacing w:line="240" w:lineRule="auto"/>
        <w:rPr>
          <w:sz w:val="20"/>
          <w:szCs w:val="20"/>
        </w:rPr>
      </w:pPr>
    </w:p>
    <w:p w14:paraId="34AD0D78" w14:textId="7F6B26F8" w:rsidR="007A7D4B" w:rsidRDefault="00030988" w:rsidP="00BE443B">
      <w:pPr>
        <w:spacing w:line="240" w:lineRule="auto"/>
        <w:rPr>
          <w:sz w:val="20"/>
          <w:szCs w:val="20"/>
        </w:rPr>
      </w:pPr>
      <w:r>
        <w:rPr>
          <w:sz w:val="20"/>
        </w:rPr>
        <w:t>The evidence for assessment of this dimension could include the following:</w:t>
      </w:r>
    </w:p>
    <w:p w14:paraId="6DEA82D1" w14:textId="77777777" w:rsidR="00A5067B" w:rsidRPr="00380DC7" w:rsidRDefault="00A5067B" w:rsidP="00BE443B">
      <w:pPr>
        <w:spacing w:line="240" w:lineRule="auto"/>
        <w:rPr>
          <w:sz w:val="20"/>
          <w:szCs w:val="20"/>
        </w:rPr>
      </w:pPr>
    </w:p>
    <w:p w14:paraId="58A97E0A" w14:textId="6E9CAEB4" w:rsidR="007A7D4B" w:rsidRPr="00380DC7" w:rsidRDefault="00030988" w:rsidP="00A5067B">
      <w:pPr>
        <w:numPr>
          <w:ilvl w:val="0"/>
          <w:numId w:val="3"/>
        </w:numPr>
        <w:spacing w:line="240" w:lineRule="auto"/>
        <w:ind w:left="562" w:hanging="562"/>
        <w:rPr>
          <w:sz w:val="20"/>
          <w:szCs w:val="20"/>
        </w:rPr>
      </w:pPr>
      <w:r>
        <w:rPr>
          <w:sz w:val="20"/>
        </w:rPr>
        <w:t xml:space="preserve">Infrastructure, </w:t>
      </w:r>
      <w:proofErr w:type="gramStart"/>
      <w:r>
        <w:rPr>
          <w:sz w:val="20"/>
        </w:rPr>
        <w:t>policies</w:t>
      </w:r>
      <w:proofErr w:type="gramEnd"/>
      <w:r>
        <w:rPr>
          <w:sz w:val="20"/>
        </w:rPr>
        <w:t xml:space="preserve"> and </w:t>
      </w:r>
      <w:r w:rsidR="00554921">
        <w:rPr>
          <w:sz w:val="20"/>
        </w:rPr>
        <w:t xml:space="preserve">materials </w:t>
      </w:r>
      <w:r>
        <w:rPr>
          <w:sz w:val="20"/>
        </w:rPr>
        <w:t>for nationwide public education</w:t>
      </w:r>
    </w:p>
    <w:p w14:paraId="7955380C" w14:textId="3A540301" w:rsidR="007A7D4B" w:rsidRPr="00380DC7" w:rsidRDefault="00030988" w:rsidP="00A5067B">
      <w:pPr>
        <w:numPr>
          <w:ilvl w:val="0"/>
          <w:numId w:val="3"/>
        </w:numPr>
        <w:spacing w:line="240" w:lineRule="auto"/>
        <w:ind w:left="562" w:hanging="562"/>
        <w:rPr>
          <w:sz w:val="20"/>
          <w:szCs w:val="20"/>
        </w:rPr>
      </w:pPr>
      <w:r>
        <w:rPr>
          <w:sz w:val="20"/>
        </w:rPr>
        <w:t xml:space="preserve">Public education </w:t>
      </w:r>
      <w:r w:rsidR="00043622">
        <w:rPr>
          <w:sz w:val="20"/>
        </w:rPr>
        <w:t xml:space="preserve">programmes </w:t>
      </w:r>
      <w:r>
        <w:rPr>
          <w:sz w:val="20"/>
        </w:rPr>
        <w:t xml:space="preserve">promoted by </w:t>
      </w:r>
      <w:proofErr w:type="gramStart"/>
      <w:r>
        <w:rPr>
          <w:sz w:val="20"/>
        </w:rPr>
        <w:t>parliament</w:t>
      </w:r>
      <w:proofErr w:type="gramEnd"/>
    </w:p>
    <w:p w14:paraId="55540C36" w14:textId="77777777" w:rsidR="007A7D4B" w:rsidRPr="00380DC7" w:rsidRDefault="00030988" w:rsidP="00A5067B">
      <w:pPr>
        <w:numPr>
          <w:ilvl w:val="0"/>
          <w:numId w:val="3"/>
        </w:numPr>
        <w:spacing w:line="240" w:lineRule="auto"/>
        <w:ind w:left="562" w:hanging="562"/>
        <w:rPr>
          <w:sz w:val="20"/>
          <w:szCs w:val="20"/>
        </w:rPr>
      </w:pPr>
      <w:r>
        <w:rPr>
          <w:sz w:val="20"/>
        </w:rPr>
        <w:t>The number of individuals taking part in parliamentary public education programmes per year</w:t>
      </w:r>
    </w:p>
    <w:p w14:paraId="1465442B" w14:textId="77777777" w:rsidR="00A5067B" w:rsidRDefault="00A5067B" w:rsidP="00BE443B">
      <w:pPr>
        <w:spacing w:line="240" w:lineRule="auto"/>
        <w:rPr>
          <w:sz w:val="20"/>
          <w:szCs w:val="20"/>
        </w:rPr>
      </w:pPr>
    </w:p>
    <w:p w14:paraId="0BF4E337" w14:textId="60CB665F" w:rsidR="007A7D4B" w:rsidRPr="00380DC7" w:rsidRDefault="00B47EB5" w:rsidP="00BE443B">
      <w:pPr>
        <w:spacing w:line="240" w:lineRule="auto"/>
        <w:rPr>
          <w:sz w:val="20"/>
          <w:szCs w:val="20"/>
        </w:rPr>
      </w:pPr>
      <w:r>
        <w:rPr>
          <w:sz w:val="20"/>
        </w:rPr>
        <w:t>Where</w:t>
      </w:r>
      <w:r w:rsidR="00030988">
        <w:rPr>
          <w:sz w:val="20"/>
        </w:rPr>
        <w:t xml:space="preserve"> relevant, provide additional comments or examples that support the assessment.</w:t>
      </w:r>
    </w:p>
    <w:p w14:paraId="4CBD744B" w14:textId="77777777" w:rsidR="007A7D4B" w:rsidRPr="00380DC7" w:rsidRDefault="007A7D4B" w:rsidP="00BE443B">
      <w:pPr>
        <w:spacing w:line="240" w:lineRule="auto"/>
        <w:rPr>
          <w:sz w:val="20"/>
          <w:szCs w:val="20"/>
        </w:rPr>
      </w:pPr>
    </w:p>
    <w:p w14:paraId="1B234DBF" w14:textId="4163B242" w:rsidR="007A7D4B" w:rsidRPr="00293C5B" w:rsidRDefault="00030988" w:rsidP="00293C5B">
      <w:pPr>
        <w:pStyle w:val="Heading4"/>
        <w:keepNext/>
        <w:keepLines/>
        <w:rPr>
          <w:rFonts w:eastAsia="Arial"/>
        </w:rPr>
      </w:pPr>
      <w:bookmarkStart w:id="23" w:name="_sqyw64"/>
      <w:bookmarkEnd w:id="23"/>
      <w:r w:rsidRPr="00293C5B">
        <w:rPr>
          <w:rFonts w:eastAsia="Arial"/>
        </w:rPr>
        <w:lastRenderedPageBreak/>
        <w:t>Assessment criterion 1: Education program</w:t>
      </w:r>
      <w:r w:rsidR="007174A5" w:rsidRPr="00293C5B">
        <w:rPr>
          <w:rFonts w:eastAsia="Arial"/>
        </w:rPr>
        <w:t>mes</w:t>
      </w:r>
    </w:p>
    <w:p w14:paraId="346A4C77" w14:textId="4741FE20" w:rsidR="007A7D4B" w:rsidRPr="00380DC7" w:rsidRDefault="001F3AEE" w:rsidP="00BE443B">
      <w:pPr>
        <w:spacing w:line="240" w:lineRule="auto"/>
        <w:rPr>
          <w:sz w:val="20"/>
          <w:szCs w:val="20"/>
        </w:rPr>
      </w:pPr>
      <w:r>
        <w:rPr>
          <w:sz w:val="20"/>
        </w:rPr>
        <w:t>P</w:t>
      </w:r>
      <w:r w:rsidR="00030988">
        <w:rPr>
          <w:sz w:val="20"/>
        </w:rPr>
        <w:t xml:space="preserve">arliament has developed policies and </w:t>
      </w:r>
      <w:r w:rsidR="00554921">
        <w:rPr>
          <w:sz w:val="20"/>
        </w:rPr>
        <w:t>materials</w:t>
      </w:r>
      <w:r w:rsidR="00107039">
        <w:rPr>
          <w:sz w:val="20"/>
        </w:rPr>
        <w:t xml:space="preserve"> for nationwide programmes to educate the public </w:t>
      </w:r>
      <w:r w:rsidR="00030988">
        <w:rPr>
          <w:sz w:val="20"/>
        </w:rPr>
        <w:t xml:space="preserve">about </w:t>
      </w:r>
      <w:r w:rsidR="00107039">
        <w:rPr>
          <w:sz w:val="20"/>
        </w:rPr>
        <w:t xml:space="preserve">its </w:t>
      </w:r>
      <w:r w:rsidR="00030988">
        <w:rPr>
          <w:sz w:val="20"/>
        </w:rPr>
        <w:t>role and working methods</w:t>
      </w:r>
      <w:r w:rsidR="00107039">
        <w:rPr>
          <w:sz w:val="20"/>
        </w:rPr>
        <w:t xml:space="preserve">, </w:t>
      </w:r>
      <w:r w:rsidR="00030988">
        <w:rPr>
          <w:sz w:val="20"/>
        </w:rPr>
        <w:t xml:space="preserve">as well as about </w:t>
      </w:r>
      <w:r w:rsidR="00107039">
        <w:rPr>
          <w:sz w:val="20"/>
        </w:rPr>
        <w:t>how</w:t>
      </w:r>
      <w:r w:rsidR="00030988">
        <w:rPr>
          <w:sz w:val="20"/>
        </w:rPr>
        <w:t xml:space="preserve"> members of the public can engage in </w:t>
      </w:r>
      <w:r w:rsidR="00107039">
        <w:rPr>
          <w:sz w:val="20"/>
        </w:rPr>
        <w:t>its work</w:t>
      </w:r>
      <w:r w:rsidR="00030988">
        <w:rPr>
          <w:sz w:val="20"/>
        </w:rPr>
        <w:t xml:space="preserve">. </w:t>
      </w:r>
    </w:p>
    <w:p w14:paraId="6D042DEC" w14:textId="77777777" w:rsidR="007A7D4B" w:rsidRPr="00380DC7" w:rsidRDefault="007A7D4B" w:rsidP="00BE443B">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5067B" w14:paraId="7A8347F6"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4629585" w14:textId="77777777" w:rsidR="00A5067B" w:rsidRDefault="00A5067B">
            <w:pPr>
              <w:jc w:val="center"/>
              <w:rPr>
                <w:rFonts w:eastAsia="Calibri"/>
                <w:sz w:val="20"/>
                <w:szCs w:val="20"/>
              </w:rPr>
            </w:pPr>
            <w:r>
              <w:rPr>
                <w:sz w:val="20"/>
              </w:rPr>
              <w:t>Non-existent</w:t>
            </w:r>
          </w:p>
          <w:sdt>
            <w:sdtPr>
              <w:rPr>
                <w:rFonts w:eastAsia="Arimo"/>
                <w:sz w:val="20"/>
                <w:szCs w:val="20"/>
              </w:rPr>
              <w:id w:val="-1565636603"/>
              <w14:checkbox>
                <w14:checked w14:val="0"/>
                <w14:checkedState w14:val="2612" w14:font="MS Gothic"/>
                <w14:uncheckedState w14:val="2610" w14:font="MS Gothic"/>
              </w14:checkbox>
            </w:sdtPr>
            <w:sdtEndPr/>
            <w:sdtContent>
              <w:p w14:paraId="650EE09D" w14:textId="77777777" w:rsidR="00A5067B" w:rsidRDefault="00A5067B">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CBC3F3" w14:textId="77777777" w:rsidR="00A5067B" w:rsidRDefault="00A5067B">
            <w:pPr>
              <w:jc w:val="center"/>
              <w:rPr>
                <w:rFonts w:eastAsia="Calibri"/>
                <w:sz w:val="20"/>
                <w:szCs w:val="20"/>
              </w:rPr>
            </w:pPr>
            <w:r>
              <w:rPr>
                <w:sz w:val="20"/>
              </w:rPr>
              <w:t xml:space="preserve">Rudimentary </w:t>
            </w:r>
          </w:p>
          <w:sdt>
            <w:sdtPr>
              <w:rPr>
                <w:rFonts w:eastAsia="Arimo"/>
                <w:sz w:val="20"/>
                <w:szCs w:val="20"/>
              </w:rPr>
              <w:id w:val="747927640"/>
              <w14:checkbox>
                <w14:checked w14:val="0"/>
                <w14:checkedState w14:val="2612" w14:font="MS Gothic"/>
                <w14:uncheckedState w14:val="2610" w14:font="MS Gothic"/>
              </w14:checkbox>
            </w:sdtPr>
            <w:sdtEndPr/>
            <w:sdtContent>
              <w:p w14:paraId="5228FDBE"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9B5245" w14:textId="77777777" w:rsidR="00A5067B" w:rsidRDefault="00A5067B">
            <w:pPr>
              <w:jc w:val="center"/>
              <w:rPr>
                <w:rFonts w:eastAsia="Calibri"/>
                <w:sz w:val="20"/>
                <w:szCs w:val="20"/>
              </w:rPr>
            </w:pPr>
            <w:r>
              <w:rPr>
                <w:sz w:val="20"/>
              </w:rPr>
              <w:t>Basic</w:t>
            </w:r>
          </w:p>
          <w:sdt>
            <w:sdtPr>
              <w:rPr>
                <w:rFonts w:eastAsia="Arimo"/>
                <w:sz w:val="20"/>
                <w:szCs w:val="20"/>
              </w:rPr>
              <w:id w:val="588114038"/>
              <w14:checkbox>
                <w14:checked w14:val="0"/>
                <w14:checkedState w14:val="2612" w14:font="MS Gothic"/>
                <w14:uncheckedState w14:val="2610" w14:font="MS Gothic"/>
              </w14:checkbox>
            </w:sdtPr>
            <w:sdtEndPr/>
            <w:sdtContent>
              <w:p w14:paraId="26AFD84A"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0963B4" w14:textId="77777777" w:rsidR="00A5067B" w:rsidRDefault="00A5067B">
            <w:pPr>
              <w:jc w:val="center"/>
              <w:rPr>
                <w:rFonts w:eastAsia="Calibri"/>
                <w:sz w:val="20"/>
                <w:szCs w:val="20"/>
              </w:rPr>
            </w:pPr>
            <w:r>
              <w:rPr>
                <w:sz w:val="20"/>
              </w:rPr>
              <w:t>Good</w:t>
            </w:r>
          </w:p>
          <w:sdt>
            <w:sdtPr>
              <w:rPr>
                <w:rFonts w:eastAsia="Arimo"/>
                <w:sz w:val="20"/>
                <w:szCs w:val="20"/>
              </w:rPr>
              <w:id w:val="1938177270"/>
              <w14:checkbox>
                <w14:checked w14:val="0"/>
                <w14:checkedState w14:val="2612" w14:font="MS Gothic"/>
                <w14:uncheckedState w14:val="2610" w14:font="MS Gothic"/>
              </w14:checkbox>
            </w:sdtPr>
            <w:sdtEndPr/>
            <w:sdtContent>
              <w:p w14:paraId="5A42BB8B" w14:textId="77777777" w:rsidR="00A5067B" w:rsidRDefault="00A5067B">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21A474" w14:textId="77777777" w:rsidR="00A5067B" w:rsidRDefault="00A5067B">
            <w:pPr>
              <w:jc w:val="center"/>
              <w:rPr>
                <w:rFonts w:eastAsia="Calibri"/>
                <w:sz w:val="20"/>
                <w:szCs w:val="20"/>
              </w:rPr>
            </w:pPr>
            <w:r>
              <w:rPr>
                <w:sz w:val="20"/>
              </w:rPr>
              <w:t>Very good</w:t>
            </w:r>
          </w:p>
          <w:sdt>
            <w:sdtPr>
              <w:rPr>
                <w:rFonts w:eastAsia="Arimo"/>
                <w:sz w:val="20"/>
                <w:szCs w:val="20"/>
              </w:rPr>
              <w:id w:val="5256919"/>
              <w14:checkbox>
                <w14:checked w14:val="0"/>
                <w14:checkedState w14:val="2612" w14:font="MS Gothic"/>
                <w14:uncheckedState w14:val="2610" w14:font="MS Gothic"/>
              </w14:checkbox>
            </w:sdtPr>
            <w:sdtEndPr/>
            <w:sdtContent>
              <w:p w14:paraId="1EAED1A1"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3ACDF03" w14:textId="77777777" w:rsidR="00A5067B" w:rsidRDefault="00A5067B">
            <w:pPr>
              <w:jc w:val="center"/>
              <w:rPr>
                <w:rFonts w:eastAsia="Calibri"/>
                <w:sz w:val="20"/>
                <w:szCs w:val="20"/>
              </w:rPr>
            </w:pPr>
            <w:r>
              <w:rPr>
                <w:sz w:val="20"/>
              </w:rPr>
              <w:t>Excellent</w:t>
            </w:r>
          </w:p>
          <w:sdt>
            <w:sdtPr>
              <w:rPr>
                <w:rFonts w:eastAsia="Arimo"/>
                <w:sz w:val="20"/>
                <w:szCs w:val="20"/>
              </w:rPr>
              <w:id w:val="617801494"/>
              <w14:checkbox>
                <w14:checked w14:val="0"/>
                <w14:checkedState w14:val="2612" w14:font="MS Gothic"/>
                <w14:uncheckedState w14:val="2610" w14:font="MS Gothic"/>
              </w14:checkbox>
            </w:sdtPr>
            <w:sdtEndPr/>
            <w:sdtContent>
              <w:p w14:paraId="09F4418C"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r>
      <w:tr w:rsidR="00A5067B" w14:paraId="6294F831"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C99BD" w14:textId="77777777" w:rsidR="00A5067B" w:rsidRDefault="00A5067B">
            <w:pPr>
              <w:rPr>
                <w:rFonts w:eastAsia="Calibri"/>
                <w:color w:val="005F9A"/>
                <w:sz w:val="20"/>
                <w:szCs w:val="20"/>
              </w:rPr>
            </w:pPr>
            <w:r>
              <w:rPr>
                <w:color w:val="005F9A"/>
                <w:sz w:val="20"/>
              </w:rPr>
              <w:t>Evidence for this assessment criterion:</w:t>
            </w:r>
          </w:p>
          <w:p w14:paraId="76529464" w14:textId="77777777" w:rsidR="00A5067B" w:rsidRDefault="00A5067B">
            <w:pPr>
              <w:rPr>
                <w:rFonts w:eastAsia="Calibri"/>
                <w:color w:val="0000FF"/>
                <w:sz w:val="20"/>
                <w:szCs w:val="20"/>
              </w:rPr>
            </w:pPr>
          </w:p>
          <w:p w14:paraId="5913AB06" w14:textId="77777777" w:rsidR="00A5067B" w:rsidRDefault="00A5067B">
            <w:pPr>
              <w:rPr>
                <w:rFonts w:eastAsia="Calibri"/>
                <w:color w:val="0000FF"/>
                <w:sz w:val="20"/>
                <w:szCs w:val="20"/>
              </w:rPr>
            </w:pPr>
          </w:p>
        </w:tc>
      </w:tr>
    </w:tbl>
    <w:p w14:paraId="0802690A" w14:textId="77777777" w:rsidR="007A7D4B" w:rsidRPr="00293C5B" w:rsidRDefault="00030988" w:rsidP="00293C5B">
      <w:pPr>
        <w:pStyle w:val="Heading4"/>
        <w:keepNext/>
        <w:keepLines/>
        <w:rPr>
          <w:rFonts w:eastAsia="Arial"/>
        </w:rPr>
      </w:pPr>
      <w:bookmarkStart w:id="24" w:name="_3cqmetx"/>
      <w:bookmarkEnd w:id="24"/>
      <w:r w:rsidRPr="00293C5B">
        <w:rPr>
          <w:rFonts w:eastAsia="Arial"/>
        </w:rPr>
        <w:t xml:space="preserve">Assessment criterion 2: Infrastructure and resources </w:t>
      </w:r>
    </w:p>
    <w:p w14:paraId="5F845410" w14:textId="489CAC13" w:rsidR="007A7D4B" w:rsidRPr="00380DC7" w:rsidRDefault="00030988" w:rsidP="00BE443B">
      <w:pPr>
        <w:spacing w:line="240" w:lineRule="auto"/>
        <w:rPr>
          <w:sz w:val="20"/>
          <w:szCs w:val="20"/>
        </w:rPr>
      </w:pPr>
      <w:r>
        <w:rPr>
          <w:sz w:val="20"/>
        </w:rPr>
        <w:t>Parliament has developed infrastructure and has allocated budgetary and human resources to support a range of public education program</w:t>
      </w:r>
      <w:r w:rsidR="007174A5">
        <w:rPr>
          <w:sz w:val="20"/>
        </w:rPr>
        <w:t>mes</w:t>
      </w:r>
      <w:r>
        <w:rPr>
          <w:sz w:val="20"/>
        </w:rPr>
        <w:t xml:space="preserve">. </w:t>
      </w:r>
      <w:r w:rsidR="003325D8">
        <w:rPr>
          <w:sz w:val="20"/>
        </w:rPr>
        <w:t>This i</w:t>
      </w:r>
      <w:r>
        <w:rPr>
          <w:sz w:val="20"/>
        </w:rPr>
        <w:t xml:space="preserve">nfrastructure can accommodate members of the public with special needs, including persons with disabilities. </w:t>
      </w:r>
    </w:p>
    <w:p w14:paraId="7299C2D3" w14:textId="77777777" w:rsidR="007A7D4B" w:rsidRPr="00380DC7" w:rsidRDefault="007A7D4B" w:rsidP="00BE443B">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5067B" w14:paraId="76A8946A"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FD410C4" w14:textId="77777777" w:rsidR="00A5067B" w:rsidRDefault="00A5067B">
            <w:pPr>
              <w:jc w:val="center"/>
              <w:rPr>
                <w:rFonts w:eastAsia="Calibri"/>
                <w:sz w:val="20"/>
                <w:szCs w:val="20"/>
              </w:rPr>
            </w:pPr>
            <w:r>
              <w:rPr>
                <w:sz w:val="20"/>
              </w:rPr>
              <w:t>Non-existent</w:t>
            </w:r>
          </w:p>
          <w:sdt>
            <w:sdtPr>
              <w:rPr>
                <w:rFonts w:eastAsia="Arimo"/>
                <w:sz w:val="20"/>
                <w:szCs w:val="20"/>
              </w:rPr>
              <w:id w:val="2143611443"/>
              <w14:checkbox>
                <w14:checked w14:val="0"/>
                <w14:checkedState w14:val="2612" w14:font="MS Gothic"/>
                <w14:uncheckedState w14:val="2610" w14:font="MS Gothic"/>
              </w14:checkbox>
            </w:sdtPr>
            <w:sdtEndPr/>
            <w:sdtContent>
              <w:p w14:paraId="5593E946" w14:textId="77777777" w:rsidR="00A5067B" w:rsidRDefault="00A5067B">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68F381" w14:textId="77777777" w:rsidR="00A5067B" w:rsidRDefault="00A5067B">
            <w:pPr>
              <w:jc w:val="center"/>
              <w:rPr>
                <w:rFonts w:eastAsia="Calibri"/>
                <w:sz w:val="20"/>
                <w:szCs w:val="20"/>
              </w:rPr>
            </w:pPr>
            <w:r>
              <w:rPr>
                <w:sz w:val="20"/>
              </w:rPr>
              <w:t xml:space="preserve">Rudimentary </w:t>
            </w:r>
          </w:p>
          <w:sdt>
            <w:sdtPr>
              <w:rPr>
                <w:rFonts w:eastAsia="Arimo"/>
                <w:sz w:val="20"/>
                <w:szCs w:val="20"/>
              </w:rPr>
              <w:id w:val="471107345"/>
              <w14:checkbox>
                <w14:checked w14:val="0"/>
                <w14:checkedState w14:val="2612" w14:font="MS Gothic"/>
                <w14:uncheckedState w14:val="2610" w14:font="MS Gothic"/>
              </w14:checkbox>
            </w:sdtPr>
            <w:sdtEndPr/>
            <w:sdtContent>
              <w:p w14:paraId="235263DF"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CE2AD8" w14:textId="77777777" w:rsidR="00A5067B" w:rsidRDefault="00A5067B">
            <w:pPr>
              <w:jc w:val="center"/>
              <w:rPr>
                <w:rFonts w:eastAsia="Calibri"/>
                <w:sz w:val="20"/>
                <w:szCs w:val="20"/>
              </w:rPr>
            </w:pPr>
            <w:r>
              <w:rPr>
                <w:sz w:val="20"/>
              </w:rPr>
              <w:t>Basic</w:t>
            </w:r>
          </w:p>
          <w:sdt>
            <w:sdtPr>
              <w:rPr>
                <w:rFonts w:eastAsia="Arimo"/>
                <w:sz w:val="20"/>
                <w:szCs w:val="20"/>
              </w:rPr>
              <w:id w:val="-86314892"/>
              <w14:checkbox>
                <w14:checked w14:val="0"/>
                <w14:checkedState w14:val="2612" w14:font="MS Gothic"/>
                <w14:uncheckedState w14:val="2610" w14:font="MS Gothic"/>
              </w14:checkbox>
            </w:sdtPr>
            <w:sdtEndPr/>
            <w:sdtContent>
              <w:p w14:paraId="424E6939"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2797DB" w14:textId="77777777" w:rsidR="00A5067B" w:rsidRDefault="00A5067B">
            <w:pPr>
              <w:jc w:val="center"/>
              <w:rPr>
                <w:rFonts w:eastAsia="Calibri"/>
                <w:sz w:val="20"/>
                <w:szCs w:val="20"/>
              </w:rPr>
            </w:pPr>
            <w:r>
              <w:rPr>
                <w:sz w:val="20"/>
              </w:rPr>
              <w:t>Good</w:t>
            </w:r>
          </w:p>
          <w:sdt>
            <w:sdtPr>
              <w:rPr>
                <w:rFonts w:eastAsia="Arimo"/>
                <w:sz w:val="20"/>
                <w:szCs w:val="20"/>
              </w:rPr>
              <w:id w:val="53593880"/>
              <w14:checkbox>
                <w14:checked w14:val="0"/>
                <w14:checkedState w14:val="2612" w14:font="MS Gothic"/>
                <w14:uncheckedState w14:val="2610" w14:font="MS Gothic"/>
              </w14:checkbox>
            </w:sdtPr>
            <w:sdtEndPr/>
            <w:sdtContent>
              <w:p w14:paraId="6AF998D4" w14:textId="77777777" w:rsidR="00A5067B" w:rsidRDefault="00A5067B">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68E8EB" w14:textId="77777777" w:rsidR="00A5067B" w:rsidRDefault="00A5067B">
            <w:pPr>
              <w:jc w:val="center"/>
              <w:rPr>
                <w:rFonts w:eastAsia="Calibri"/>
                <w:sz w:val="20"/>
                <w:szCs w:val="20"/>
              </w:rPr>
            </w:pPr>
            <w:r>
              <w:rPr>
                <w:sz w:val="20"/>
              </w:rPr>
              <w:t>Very good</w:t>
            </w:r>
          </w:p>
          <w:sdt>
            <w:sdtPr>
              <w:rPr>
                <w:rFonts w:eastAsia="Arimo"/>
                <w:sz w:val="20"/>
                <w:szCs w:val="20"/>
              </w:rPr>
              <w:id w:val="1200743246"/>
              <w14:checkbox>
                <w14:checked w14:val="0"/>
                <w14:checkedState w14:val="2612" w14:font="MS Gothic"/>
                <w14:uncheckedState w14:val="2610" w14:font="MS Gothic"/>
              </w14:checkbox>
            </w:sdtPr>
            <w:sdtEndPr/>
            <w:sdtContent>
              <w:p w14:paraId="47BC2210"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7739D7A" w14:textId="77777777" w:rsidR="00A5067B" w:rsidRDefault="00A5067B">
            <w:pPr>
              <w:jc w:val="center"/>
              <w:rPr>
                <w:rFonts w:eastAsia="Calibri"/>
                <w:sz w:val="20"/>
                <w:szCs w:val="20"/>
              </w:rPr>
            </w:pPr>
            <w:r>
              <w:rPr>
                <w:sz w:val="20"/>
              </w:rPr>
              <w:t>Excellent</w:t>
            </w:r>
          </w:p>
          <w:sdt>
            <w:sdtPr>
              <w:rPr>
                <w:rFonts w:eastAsia="Arimo"/>
                <w:sz w:val="20"/>
                <w:szCs w:val="20"/>
              </w:rPr>
              <w:id w:val="-1983538942"/>
              <w14:checkbox>
                <w14:checked w14:val="0"/>
                <w14:checkedState w14:val="2612" w14:font="MS Gothic"/>
                <w14:uncheckedState w14:val="2610" w14:font="MS Gothic"/>
              </w14:checkbox>
            </w:sdtPr>
            <w:sdtEndPr/>
            <w:sdtContent>
              <w:p w14:paraId="496D06BE"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r>
      <w:tr w:rsidR="00A5067B" w14:paraId="3E206B53"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52AE34" w14:textId="77777777" w:rsidR="00A5067B" w:rsidRDefault="00A5067B">
            <w:pPr>
              <w:rPr>
                <w:rFonts w:eastAsia="Calibri"/>
                <w:color w:val="005F9A"/>
                <w:sz w:val="20"/>
                <w:szCs w:val="20"/>
              </w:rPr>
            </w:pPr>
            <w:r>
              <w:rPr>
                <w:color w:val="005F9A"/>
                <w:sz w:val="20"/>
              </w:rPr>
              <w:t>Evidence for this assessment criterion:</w:t>
            </w:r>
          </w:p>
          <w:p w14:paraId="4AF1D8EE" w14:textId="77777777" w:rsidR="00A5067B" w:rsidRDefault="00A5067B">
            <w:pPr>
              <w:rPr>
                <w:rFonts w:eastAsia="Calibri"/>
                <w:color w:val="0000FF"/>
                <w:sz w:val="20"/>
                <w:szCs w:val="20"/>
              </w:rPr>
            </w:pPr>
          </w:p>
          <w:p w14:paraId="3B1C0CB6" w14:textId="77777777" w:rsidR="00A5067B" w:rsidRDefault="00A5067B">
            <w:pPr>
              <w:rPr>
                <w:rFonts w:eastAsia="Calibri"/>
                <w:color w:val="0000FF"/>
                <w:sz w:val="20"/>
                <w:szCs w:val="20"/>
              </w:rPr>
            </w:pPr>
          </w:p>
        </w:tc>
      </w:tr>
    </w:tbl>
    <w:p w14:paraId="7CC21462" w14:textId="77777777" w:rsidR="007A7D4B" w:rsidRPr="00293C5B" w:rsidRDefault="00030988" w:rsidP="00293C5B">
      <w:pPr>
        <w:pStyle w:val="Heading4"/>
        <w:keepNext/>
        <w:keepLines/>
        <w:rPr>
          <w:rFonts w:eastAsia="Arial"/>
        </w:rPr>
      </w:pPr>
      <w:bookmarkStart w:id="25" w:name="_1rvwp1q"/>
      <w:bookmarkEnd w:id="25"/>
      <w:r w:rsidRPr="00293C5B">
        <w:rPr>
          <w:rFonts w:eastAsia="Arial"/>
        </w:rPr>
        <w:t xml:space="preserve">Assessment criterion 3: Accessibility </w:t>
      </w:r>
    </w:p>
    <w:p w14:paraId="3C94ED83" w14:textId="3F73DD01" w:rsidR="007A7D4B" w:rsidRPr="00380DC7" w:rsidRDefault="00030988" w:rsidP="00BE443B">
      <w:pPr>
        <w:spacing w:line="240" w:lineRule="auto"/>
        <w:rPr>
          <w:sz w:val="20"/>
          <w:szCs w:val="20"/>
        </w:rPr>
      </w:pPr>
      <w:r>
        <w:rPr>
          <w:sz w:val="20"/>
        </w:rPr>
        <w:t xml:space="preserve">Public education programmes are easily accessible for all groups </w:t>
      </w:r>
      <w:r w:rsidR="009B3BCC">
        <w:rPr>
          <w:sz w:val="20"/>
        </w:rPr>
        <w:t>within the community</w:t>
      </w:r>
      <w:r>
        <w:rPr>
          <w:sz w:val="20"/>
        </w:rPr>
        <w:t>. Various on</w:t>
      </w:r>
      <w:r w:rsidR="007174A5">
        <w:rPr>
          <w:sz w:val="20"/>
        </w:rPr>
        <w:t>line</w:t>
      </w:r>
      <w:r>
        <w:rPr>
          <w:sz w:val="20"/>
        </w:rPr>
        <w:t xml:space="preserve"> and in-person tools are in place to ensure that education programmes reach </w:t>
      </w:r>
      <w:r w:rsidR="00975D5A">
        <w:rPr>
          <w:sz w:val="20"/>
        </w:rPr>
        <w:t>all</w:t>
      </w:r>
      <w:r w:rsidR="00F34F7B">
        <w:rPr>
          <w:sz w:val="20"/>
        </w:rPr>
        <w:t xml:space="preserve"> sections of</w:t>
      </w:r>
      <w:r>
        <w:rPr>
          <w:sz w:val="20"/>
        </w:rPr>
        <w:t xml:space="preserve"> society, including women, children, youth, </w:t>
      </w:r>
      <w:r w:rsidR="001D4BB8">
        <w:rPr>
          <w:sz w:val="20"/>
        </w:rPr>
        <w:t xml:space="preserve">persons with </w:t>
      </w:r>
      <w:r>
        <w:rPr>
          <w:sz w:val="20"/>
        </w:rPr>
        <w:t>disab</w:t>
      </w:r>
      <w:r w:rsidR="001D4BB8">
        <w:rPr>
          <w:sz w:val="20"/>
        </w:rPr>
        <w:t>ilities,</w:t>
      </w:r>
      <w:r>
        <w:rPr>
          <w:sz w:val="20"/>
        </w:rPr>
        <w:t xml:space="preserve"> and rural or remote communities. </w:t>
      </w:r>
    </w:p>
    <w:p w14:paraId="38688272" w14:textId="77777777" w:rsidR="007A7D4B" w:rsidRPr="00380DC7" w:rsidRDefault="007A7D4B" w:rsidP="00BE443B">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5067B" w14:paraId="04CC2CEA"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C6130AC" w14:textId="77777777" w:rsidR="00A5067B" w:rsidRDefault="00A5067B">
            <w:pPr>
              <w:jc w:val="center"/>
              <w:rPr>
                <w:rFonts w:eastAsia="Calibri"/>
                <w:sz w:val="20"/>
                <w:szCs w:val="20"/>
              </w:rPr>
            </w:pPr>
            <w:r>
              <w:rPr>
                <w:sz w:val="20"/>
              </w:rPr>
              <w:t>Non-existent</w:t>
            </w:r>
          </w:p>
          <w:sdt>
            <w:sdtPr>
              <w:rPr>
                <w:rFonts w:eastAsia="Arimo"/>
                <w:sz w:val="20"/>
                <w:szCs w:val="20"/>
              </w:rPr>
              <w:id w:val="-1283801336"/>
              <w14:checkbox>
                <w14:checked w14:val="0"/>
                <w14:checkedState w14:val="2612" w14:font="MS Gothic"/>
                <w14:uncheckedState w14:val="2610" w14:font="MS Gothic"/>
              </w14:checkbox>
            </w:sdtPr>
            <w:sdtEndPr/>
            <w:sdtContent>
              <w:p w14:paraId="5795077B" w14:textId="77777777" w:rsidR="00A5067B" w:rsidRDefault="00A5067B">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B4CE117" w14:textId="77777777" w:rsidR="00A5067B" w:rsidRDefault="00A5067B">
            <w:pPr>
              <w:jc w:val="center"/>
              <w:rPr>
                <w:rFonts w:eastAsia="Calibri"/>
                <w:sz w:val="20"/>
                <w:szCs w:val="20"/>
              </w:rPr>
            </w:pPr>
            <w:r>
              <w:rPr>
                <w:sz w:val="20"/>
              </w:rPr>
              <w:t xml:space="preserve">Rudimentary </w:t>
            </w:r>
          </w:p>
          <w:sdt>
            <w:sdtPr>
              <w:rPr>
                <w:rFonts w:eastAsia="Arimo"/>
                <w:sz w:val="20"/>
                <w:szCs w:val="20"/>
              </w:rPr>
              <w:id w:val="-387954939"/>
              <w14:checkbox>
                <w14:checked w14:val="0"/>
                <w14:checkedState w14:val="2612" w14:font="MS Gothic"/>
                <w14:uncheckedState w14:val="2610" w14:font="MS Gothic"/>
              </w14:checkbox>
            </w:sdtPr>
            <w:sdtEndPr/>
            <w:sdtContent>
              <w:p w14:paraId="1F63D5F2"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136D4B" w14:textId="77777777" w:rsidR="00A5067B" w:rsidRDefault="00A5067B">
            <w:pPr>
              <w:jc w:val="center"/>
              <w:rPr>
                <w:rFonts w:eastAsia="Calibri"/>
                <w:sz w:val="20"/>
                <w:szCs w:val="20"/>
              </w:rPr>
            </w:pPr>
            <w:r>
              <w:rPr>
                <w:sz w:val="20"/>
              </w:rPr>
              <w:t>Basic</w:t>
            </w:r>
          </w:p>
          <w:sdt>
            <w:sdtPr>
              <w:rPr>
                <w:rFonts w:eastAsia="Arimo"/>
                <w:sz w:val="20"/>
                <w:szCs w:val="20"/>
              </w:rPr>
              <w:id w:val="-819343976"/>
              <w14:checkbox>
                <w14:checked w14:val="0"/>
                <w14:checkedState w14:val="2612" w14:font="MS Gothic"/>
                <w14:uncheckedState w14:val="2610" w14:font="MS Gothic"/>
              </w14:checkbox>
            </w:sdtPr>
            <w:sdtEndPr/>
            <w:sdtContent>
              <w:p w14:paraId="0854C1EC"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A02EE3" w14:textId="77777777" w:rsidR="00A5067B" w:rsidRDefault="00A5067B">
            <w:pPr>
              <w:jc w:val="center"/>
              <w:rPr>
                <w:rFonts w:eastAsia="Calibri"/>
                <w:sz w:val="20"/>
                <w:szCs w:val="20"/>
              </w:rPr>
            </w:pPr>
            <w:r>
              <w:rPr>
                <w:sz w:val="20"/>
              </w:rPr>
              <w:t>Good</w:t>
            </w:r>
          </w:p>
          <w:sdt>
            <w:sdtPr>
              <w:rPr>
                <w:rFonts w:eastAsia="Arimo"/>
                <w:sz w:val="20"/>
                <w:szCs w:val="20"/>
              </w:rPr>
              <w:id w:val="-1418317753"/>
              <w14:checkbox>
                <w14:checked w14:val="0"/>
                <w14:checkedState w14:val="2612" w14:font="MS Gothic"/>
                <w14:uncheckedState w14:val="2610" w14:font="MS Gothic"/>
              </w14:checkbox>
            </w:sdtPr>
            <w:sdtEndPr/>
            <w:sdtContent>
              <w:p w14:paraId="3A337E20" w14:textId="77777777" w:rsidR="00A5067B" w:rsidRDefault="00A5067B">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7A6C49" w14:textId="77777777" w:rsidR="00A5067B" w:rsidRDefault="00A5067B">
            <w:pPr>
              <w:jc w:val="center"/>
              <w:rPr>
                <w:rFonts w:eastAsia="Calibri"/>
                <w:sz w:val="20"/>
                <w:szCs w:val="20"/>
              </w:rPr>
            </w:pPr>
            <w:r>
              <w:rPr>
                <w:sz w:val="20"/>
              </w:rPr>
              <w:t>Very good</w:t>
            </w:r>
          </w:p>
          <w:sdt>
            <w:sdtPr>
              <w:rPr>
                <w:rFonts w:eastAsia="Arimo"/>
                <w:sz w:val="20"/>
                <w:szCs w:val="20"/>
              </w:rPr>
              <w:id w:val="1427686212"/>
              <w14:checkbox>
                <w14:checked w14:val="0"/>
                <w14:checkedState w14:val="2612" w14:font="MS Gothic"/>
                <w14:uncheckedState w14:val="2610" w14:font="MS Gothic"/>
              </w14:checkbox>
            </w:sdtPr>
            <w:sdtEndPr/>
            <w:sdtContent>
              <w:p w14:paraId="4799247B"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919551A" w14:textId="77777777" w:rsidR="00A5067B" w:rsidRDefault="00A5067B">
            <w:pPr>
              <w:jc w:val="center"/>
              <w:rPr>
                <w:rFonts w:eastAsia="Calibri"/>
                <w:sz w:val="20"/>
                <w:szCs w:val="20"/>
              </w:rPr>
            </w:pPr>
            <w:r>
              <w:rPr>
                <w:sz w:val="20"/>
              </w:rPr>
              <w:t>Excellent</w:t>
            </w:r>
          </w:p>
          <w:sdt>
            <w:sdtPr>
              <w:rPr>
                <w:rFonts w:eastAsia="Arimo"/>
                <w:sz w:val="20"/>
                <w:szCs w:val="20"/>
              </w:rPr>
              <w:id w:val="1630435724"/>
              <w14:checkbox>
                <w14:checked w14:val="0"/>
                <w14:checkedState w14:val="2612" w14:font="MS Gothic"/>
                <w14:uncheckedState w14:val="2610" w14:font="MS Gothic"/>
              </w14:checkbox>
            </w:sdtPr>
            <w:sdtEndPr/>
            <w:sdtContent>
              <w:p w14:paraId="3BE2BF28"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r>
      <w:tr w:rsidR="00A5067B" w14:paraId="3B11A20A"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E3B625" w14:textId="77777777" w:rsidR="00A5067B" w:rsidRDefault="00A5067B">
            <w:pPr>
              <w:rPr>
                <w:rFonts w:eastAsia="Calibri"/>
                <w:color w:val="005F9A"/>
                <w:sz w:val="20"/>
                <w:szCs w:val="20"/>
              </w:rPr>
            </w:pPr>
            <w:r>
              <w:rPr>
                <w:color w:val="005F9A"/>
                <w:sz w:val="20"/>
              </w:rPr>
              <w:t>Evidence for this assessment criterion:</w:t>
            </w:r>
          </w:p>
          <w:p w14:paraId="65CF7890" w14:textId="77777777" w:rsidR="00A5067B" w:rsidRDefault="00A5067B">
            <w:pPr>
              <w:rPr>
                <w:rFonts w:eastAsia="Calibri"/>
                <w:color w:val="0000FF"/>
                <w:sz w:val="20"/>
                <w:szCs w:val="20"/>
              </w:rPr>
            </w:pPr>
          </w:p>
          <w:p w14:paraId="63512552" w14:textId="77777777" w:rsidR="00A5067B" w:rsidRDefault="00A5067B">
            <w:pPr>
              <w:rPr>
                <w:rFonts w:eastAsia="Calibri"/>
                <w:color w:val="0000FF"/>
                <w:sz w:val="20"/>
                <w:szCs w:val="20"/>
              </w:rPr>
            </w:pPr>
          </w:p>
        </w:tc>
      </w:tr>
    </w:tbl>
    <w:p w14:paraId="2E823F03" w14:textId="77777777" w:rsidR="007A7D4B" w:rsidRPr="00293C5B" w:rsidRDefault="00030988" w:rsidP="00293C5B">
      <w:pPr>
        <w:pStyle w:val="Heading4"/>
        <w:keepNext/>
        <w:keepLines/>
        <w:rPr>
          <w:rFonts w:eastAsia="Arial"/>
        </w:rPr>
      </w:pPr>
      <w:bookmarkStart w:id="26" w:name="_z4kx9jdzmz8f"/>
      <w:bookmarkEnd w:id="26"/>
      <w:r w:rsidRPr="00293C5B">
        <w:rPr>
          <w:rFonts w:eastAsia="Arial"/>
        </w:rPr>
        <w:t>Assessment criterion 4: Non-partisanship</w:t>
      </w:r>
    </w:p>
    <w:p w14:paraId="55B826B6" w14:textId="210F50E3" w:rsidR="007A7D4B" w:rsidRPr="00380DC7" w:rsidRDefault="00030988" w:rsidP="00BE443B">
      <w:pPr>
        <w:spacing w:line="240" w:lineRule="auto"/>
        <w:rPr>
          <w:sz w:val="20"/>
          <w:szCs w:val="20"/>
        </w:rPr>
      </w:pPr>
      <w:r>
        <w:rPr>
          <w:sz w:val="20"/>
        </w:rPr>
        <w:t>Public education program</w:t>
      </w:r>
      <w:r w:rsidR="007174A5">
        <w:rPr>
          <w:sz w:val="20"/>
        </w:rPr>
        <w:t>mes</w:t>
      </w:r>
      <w:r>
        <w:rPr>
          <w:sz w:val="20"/>
        </w:rPr>
        <w:t xml:space="preserve"> are non-partisan and promote the basic principles of democracy.</w:t>
      </w:r>
    </w:p>
    <w:p w14:paraId="14B1FF0B" w14:textId="77777777" w:rsidR="007A7D4B" w:rsidRPr="00380DC7" w:rsidRDefault="007A7D4B" w:rsidP="00BE443B">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5067B" w14:paraId="74B23C32"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B920431" w14:textId="77777777" w:rsidR="00A5067B" w:rsidRDefault="00A5067B">
            <w:pPr>
              <w:jc w:val="center"/>
              <w:rPr>
                <w:rFonts w:eastAsia="Calibri"/>
                <w:sz w:val="20"/>
                <w:szCs w:val="20"/>
              </w:rPr>
            </w:pPr>
            <w:r>
              <w:rPr>
                <w:sz w:val="20"/>
              </w:rPr>
              <w:t>Non-existent</w:t>
            </w:r>
          </w:p>
          <w:sdt>
            <w:sdtPr>
              <w:rPr>
                <w:rFonts w:eastAsia="Arimo"/>
                <w:sz w:val="20"/>
                <w:szCs w:val="20"/>
              </w:rPr>
              <w:id w:val="1196808784"/>
              <w14:checkbox>
                <w14:checked w14:val="0"/>
                <w14:checkedState w14:val="2612" w14:font="MS Gothic"/>
                <w14:uncheckedState w14:val="2610" w14:font="MS Gothic"/>
              </w14:checkbox>
            </w:sdtPr>
            <w:sdtEndPr/>
            <w:sdtContent>
              <w:p w14:paraId="7BB7924E" w14:textId="77777777" w:rsidR="00A5067B" w:rsidRDefault="00A5067B">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74B79E" w14:textId="77777777" w:rsidR="00A5067B" w:rsidRDefault="00A5067B">
            <w:pPr>
              <w:jc w:val="center"/>
              <w:rPr>
                <w:rFonts w:eastAsia="Calibri"/>
                <w:sz w:val="20"/>
                <w:szCs w:val="20"/>
              </w:rPr>
            </w:pPr>
            <w:r>
              <w:rPr>
                <w:sz w:val="20"/>
              </w:rPr>
              <w:t xml:space="preserve">Rudimentary </w:t>
            </w:r>
          </w:p>
          <w:sdt>
            <w:sdtPr>
              <w:rPr>
                <w:rFonts w:eastAsia="Arimo"/>
                <w:sz w:val="20"/>
                <w:szCs w:val="20"/>
              </w:rPr>
              <w:id w:val="-1802220481"/>
              <w14:checkbox>
                <w14:checked w14:val="0"/>
                <w14:checkedState w14:val="2612" w14:font="MS Gothic"/>
                <w14:uncheckedState w14:val="2610" w14:font="MS Gothic"/>
              </w14:checkbox>
            </w:sdtPr>
            <w:sdtEndPr/>
            <w:sdtContent>
              <w:p w14:paraId="34B4F6D9"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6EC37E" w14:textId="77777777" w:rsidR="00A5067B" w:rsidRDefault="00A5067B">
            <w:pPr>
              <w:jc w:val="center"/>
              <w:rPr>
                <w:rFonts w:eastAsia="Calibri"/>
                <w:sz w:val="20"/>
                <w:szCs w:val="20"/>
              </w:rPr>
            </w:pPr>
            <w:r>
              <w:rPr>
                <w:sz w:val="20"/>
              </w:rPr>
              <w:t>Basic</w:t>
            </w:r>
          </w:p>
          <w:sdt>
            <w:sdtPr>
              <w:rPr>
                <w:rFonts w:eastAsia="Arimo"/>
                <w:sz w:val="20"/>
                <w:szCs w:val="20"/>
              </w:rPr>
              <w:id w:val="1901169369"/>
              <w14:checkbox>
                <w14:checked w14:val="0"/>
                <w14:checkedState w14:val="2612" w14:font="MS Gothic"/>
                <w14:uncheckedState w14:val="2610" w14:font="MS Gothic"/>
              </w14:checkbox>
            </w:sdtPr>
            <w:sdtEndPr/>
            <w:sdtContent>
              <w:p w14:paraId="3D4E7863"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6D4FFA" w14:textId="77777777" w:rsidR="00A5067B" w:rsidRDefault="00A5067B">
            <w:pPr>
              <w:jc w:val="center"/>
              <w:rPr>
                <w:rFonts w:eastAsia="Calibri"/>
                <w:sz w:val="20"/>
                <w:szCs w:val="20"/>
              </w:rPr>
            </w:pPr>
            <w:r>
              <w:rPr>
                <w:sz w:val="20"/>
              </w:rPr>
              <w:t>Good</w:t>
            </w:r>
          </w:p>
          <w:sdt>
            <w:sdtPr>
              <w:rPr>
                <w:rFonts w:eastAsia="Arimo"/>
                <w:sz w:val="20"/>
                <w:szCs w:val="20"/>
              </w:rPr>
              <w:id w:val="400949189"/>
              <w14:checkbox>
                <w14:checked w14:val="0"/>
                <w14:checkedState w14:val="2612" w14:font="MS Gothic"/>
                <w14:uncheckedState w14:val="2610" w14:font="MS Gothic"/>
              </w14:checkbox>
            </w:sdtPr>
            <w:sdtEndPr/>
            <w:sdtContent>
              <w:p w14:paraId="2AA1CD6A" w14:textId="77777777" w:rsidR="00A5067B" w:rsidRDefault="00A5067B">
                <w:pPr>
                  <w:jc w:val="center"/>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5219B3" w14:textId="77777777" w:rsidR="00A5067B" w:rsidRDefault="00A5067B">
            <w:pPr>
              <w:jc w:val="center"/>
              <w:rPr>
                <w:rFonts w:eastAsia="Calibri"/>
                <w:sz w:val="20"/>
                <w:szCs w:val="20"/>
              </w:rPr>
            </w:pPr>
            <w:r>
              <w:rPr>
                <w:sz w:val="20"/>
              </w:rPr>
              <w:t>Very good</w:t>
            </w:r>
          </w:p>
          <w:sdt>
            <w:sdtPr>
              <w:rPr>
                <w:rFonts w:eastAsia="Arimo"/>
                <w:sz w:val="20"/>
                <w:szCs w:val="20"/>
              </w:rPr>
              <w:id w:val="-1756734842"/>
              <w14:checkbox>
                <w14:checked w14:val="0"/>
                <w14:checkedState w14:val="2612" w14:font="MS Gothic"/>
                <w14:uncheckedState w14:val="2610" w14:font="MS Gothic"/>
              </w14:checkbox>
            </w:sdtPr>
            <w:sdtEndPr/>
            <w:sdtContent>
              <w:p w14:paraId="14B0B8BA"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AAB8319" w14:textId="77777777" w:rsidR="00A5067B" w:rsidRDefault="00A5067B">
            <w:pPr>
              <w:jc w:val="center"/>
              <w:rPr>
                <w:rFonts w:eastAsia="Calibri"/>
                <w:sz w:val="20"/>
                <w:szCs w:val="20"/>
              </w:rPr>
            </w:pPr>
            <w:r>
              <w:rPr>
                <w:sz w:val="20"/>
              </w:rPr>
              <w:t>Excellent</w:t>
            </w:r>
          </w:p>
          <w:sdt>
            <w:sdtPr>
              <w:rPr>
                <w:rFonts w:eastAsia="Arimo"/>
                <w:sz w:val="20"/>
                <w:szCs w:val="20"/>
              </w:rPr>
              <w:id w:val="525836089"/>
              <w14:checkbox>
                <w14:checked w14:val="0"/>
                <w14:checkedState w14:val="2612" w14:font="MS Gothic"/>
                <w14:uncheckedState w14:val="2610" w14:font="MS Gothic"/>
              </w14:checkbox>
            </w:sdtPr>
            <w:sdtEndPr/>
            <w:sdtContent>
              <w:p w14:paraId="00D13386" w14:textId="77777777" w:rsidR="00A5067B" w:rsidRDefault="00A5067B">
                <w:pPr>
                  <w:jc w:val="center"/>
                  <w:rPr>
                    <w:rFonts w:eastAsia="Calibri"/>
                    <w:sz w:val="20"/>
                    <w:szCs w:val="20"/>
                  </w:rPr>
                </w:pPr>
                <w:r>
                  <w:rPr>
                    <w:rFonts w:ascii="Segoe UI Symbol" w:eastAsia="Arimo" w:hAnsi="Segoe UI Symbol" w:cs="Segoe UI Symbol"/>
                    <w:sz w:val="20"/>
                    <w:szCs w:val="20"/>
                  </w:rPr>
                  <w:t>☐</w:t>
                </w:r>
              </w:p>
            </w:sdtContent>
          </w:sdt>
        </w:tc>
      </w:tr>
      <w:tr w:rsidR="00A5067B" w14:paraId="14702B00"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BC43EC" w14:textId="77777777" w:rsidR="00A5067B" w:rsidRDefault="00A5067B">
            <w:pPr>
              <w:rPr>
                <w:rFonts w:eastAsia="Calibri"/>
                <w:color w:val="005F9A"/>
                <w:sz w:val="20"/>
                <w:szCs w:val="20"/>
              </w:rPr>
            </w:pPr>
            <w:r>
              <w:rPr>
                <w:color w:val="005F9A"/>
                <w:sz w:val="20"/>
              </w:rPr>
              <w:t>Evidence for this assessment criterion:</w:t>
            </w:r>
          </w:p>
          <w:p w14:paraId="7586A08E" w14:textId="77777777" w:rsidR="00A5067B" w:rsidRDefault="00A5067B">
            <w:pPr>
              <w:rPr>
                <w:rFonts w:eastAsia="Calibri"/>
                <w:color w:val="0000FF"/>
                <w:sz w:val="20"/>
                <w:szCs w:val="20"/>
              </w:rPr>
            </w:pPr>
          </w:p>
          <w:p w14:paraId="48CA501C" w14:textId="77777777" w:rsidR="00A5067B" w:rsidRDefault="00A5067B">
            <w:pPr>
              <w:rPr>
                <w:rFonts w:eastAsia="Calibri"/>
                <w:color w:val="0000FF"/>
                <w:sz w:val="20"/>
                <w:szCs w:val="20"/>
              </w:rPr>
            </w:pPr>
          </w:p>
        </w:tc>
      </w:tr>
    </w:tbl>
    <w:p w14:paraId="42C87C5D" w14:textId="4023C977" w:rsidR="00A5067B" w:rsidRDefault="00A5067B" w:rsidP="00A5067B">
      <w:pPr>
        <w:pStyle w:val="section-title"/>
      </w:pPr>
      <w:r>
        <w:lastRenderedPageBreak/>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DC1D74" w:rsidRPr="00DC1D74" w14:paraId="62A8A3F2" w14:textId="77777777" w:rsidTr="00A5067B">
        <w:trPr>
          <w:trHeight w:val="1440"/>
        </w:trPr>
        <w:tc>
          <w:tcPr>
            <w:tcW w:w="5000" w:type="pct"/>
            <w:tcBorders>
              <w:top w:val="single" w:sz="4" w:space="0" w:color="auto"/>
              <w:left w:val="single" w:sz="4" w:space="0" w:color="auto"/>
              <w:bottom w:val="single" w:sz="4" w:space="0" w:color="auto"/>
              <w:right w:val="single" w:sz="4" w:space="0" w:color="auto"/>
            </w:tcBorders>
          </w:tcPr>
          <w:p w14:paraId="2057C837" w14:textId="70896143" w:rsidR="00DC1D74" w:rsidRDefault="00DC1D74" w:rsidP="00DC1D74">
            <w:r>
              <w:rPr>
                <w:i/>
                <w:sz w:val="20"/>
                <w:shd w:val="clear" w:color="auto" w:fill="FFFFFF"/>
              </w:rPr>
              <w:t xml:space="preserve">Use this space to note down recommendations and ideas for strengthening </w:t>
            </w:r>
            <w:r w:rsidR="007F48AB">
              <w:rPr>
                <w:i/>
                <w:sz w:val="20"/>
                <w:shd w:val="clear" w:color="auto" w:fill="FFFFFF"/>
              </w:rPr>
              <w:t>rules and practice in this area.</w:t>
            </w:r>
          </w:p>
        </w:tc>
      </w:tr>
    </w:tbl>
    <w:p w14:paraId="7AA65D11" w14:textId="77777777" w:rsidR="007A7D4B" w:rsidRPr="00380DC7" w:rsidRDefault="007A7D4B" w:rsidP="00BE443B">
      <w:pPr>
        <w:spacing w:line="240" w:lineRule="auto"/>
        <w:rPr>
          <w:color w:val="005F9A"/>
          <w:sz w:val="20"/>
          <w:szCs w:val="20"/>
        </w:rPr>
      </w:pPr>
    </w:p>
    <w:p w14:paraId="0AF4161C" w14:textId="77777777" w:rsidR="007A7D4B" w:rsidRPr="00380DC7" w:rsidRDefault="007A7D4B" w:rsidP="00BE443B">
      <w:pPr>
        <w:spacing w:line="240" w:lineRule="auto"/>
        <w:rPr>
          <w:sz w:val="20"/>
          <w:szCs w:val="20"/>
        </w:rPr>
      </w:pPr>
    </w:p>
    <w:p w14:paraId="5100E3F2" w14:textId="77777777" w:rsidR="007A7D4B" w:rsidRPr="00380DC7" w:rsidRDefault="007A7D4B" w:rsidP="00BE443B">
      <w:pPr>
        <w:spacing w:line="240" w:lineRule="auto"/>
      </w:pPr>
    </w:p>
    <w:sectPr w:rsidR="007A7D4B" w:rsidRPr="00380DC7" w:rsidSect="00293C5B">
      <w:headerReference w:type="default" r:id="rId22"/>
      <w:footerReference w:type="default" r:id="rId23"/>
      <w:headerReference w:type="first" r:id="rId24"/>
      <w:footerReference w:type="first" r:id="rId25"/>
      <w:pgSz w:w="12240" w:h="15840"/>
      <w:pgMar w:top="1411" w:right="1411" w:bottom="1411" w:left="1699"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D5AD2" w14:textId="77777777" w:rsidR="00995108" w:rsidRDefault="00995108" w:rsidP="00E5613A">
      <w:pPr>
        <w:spacing w:line="240" w:lineRule="auto"/>
      </w:pPr>
      <w:r>
        <w:separator/>
      </w:r>
    </w:p>
  </w:endnote>
  <w:endnote w:type="continuationSeparator" w:id="0">
    <w:p w14:paraId="75D38235" w14:textId="77777777" w:rsidR="00995108" w:rsidRDefault="00995108" w:rsidP="00E561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m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11689"/>
      <w:docPartObj>
        <w:docPartGallery w:val="Page Numbers (Bottom of Page)"/>
        <w:docPartUnique/>
      </w:docPartObj>
    </w:sdtPr>
    <w:sdtEndPr>
      <w:rPr>
        <w:noProof/>
      </w:rPr>
    </w:sdtEndPr>
    <w:sdtContent>
      <w:p w14:paraId="62FAE9DA" w14:textId="41283E5C" w:rsidR="00E5613A" w:rsidRPr="00293C5B" w:rsidRDefault="00293C5B" w:rsidP="00293C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361B" w14:textId="77777777" w:rsidR="00293C5B" w:rsidRDefault="00293C5B" w:rsidP="00293C5B">
    <w:pPr>
      <w:pStyle w:val="NormalWeb"/>
      <w:rPr>
        <w:rFonts w:ascii="Arial" w:hAnsi="Arial" w:cs="Arial"/>
        <w:sz w:val="20"/>
        <w:szCs w:val="20"/>
        <w:lang w:val="en-US"/>
      </w:rPr>
    </w:pPr>
    <w:r>
      <w:rPr>
        <w:rFonts w:ascii="Arial" w:hAnsi="Arial" w:cs="Arial"/>
        <w:sz w:val="20"/>
        <w:szCs w:val="20"/>
        <w:lang w:val="en-US"/>
      </w:rPr>
      <w:t>_______________</w:t>
    </w:r>
  </w:p>
  <w:p w14:paraId="2201BD3C" w14:textId="77777777" w:rsidR="00E164ED" w:rsidRDefault="00E164ED" w:rsidP="00E164ED">
    <w:pPr>
      <w:pStyle w:val="NormalWeb"/>
      <w:rPr>
        <w:rFonts w:ascii="Arial" w:hAnsi="Arial" w:cs="Arial"/>
        <w:sz w:val="20"/>
        <w:szCs w:val="20"/>
        <w:lang w:val="en-US"/>
      </w:rPr>
    </w:pPr>
    <w:r w:rsidRPr="00D17906">
      <w:rPr>
        <w:rFonts w:ascii="Arial" w:hAnsi="Arial" w:cs="Arial"/>
        <w:sz w:val="20"/>
        <w:szCs w:val="20"/>
        <w:lang w:val="en-US"/>
      </w:rPr>
      <w:t xml:space="preserve">The Indicators for Democratic Parliaments are a multi-partner initiative coordinated by the Inter-Parliamentary Union (IPU), in partnership with the Commonwealth Parliamentary Association (CPA), Directorio </w:t>
    </w:r>
    <w:proofErr w:type="spellStart"/>
    <w:r w:rsidRPr="00D17906">
      <w:rPr>
        <w:rFonts w:ascii="Arial" w:hAnsi="Arial" w:cs="Arial"/>
        <w:sz w:val="20"/>
        <w:szCs w:val="20"/>
        <w:lang w:val="en-US"/>
      </w:rPr>
      <w:t>Legislativo</w:t>
    </w:r>
    <w:proofErr w:type="spellEnd"/>
    <w:r w:rsidRPr="00D17906">
      <w:rPr>
        <w:rFonts w:ascii="Arial" w:hAnsi="Arial" w:cs="Arial"/>
        <w:sz w:val="20"/>
        <w:szCs w:val="20"/>
        <w:lang w:val="en-US"/>
      </w:rPr>
      <w:t xml:space="preserve"> Foundation, Inter Pares</w:t>
    </w:r>
    <w:r>
      <w:rPr>
        <w:rFonts w:ascii="Arial" w:hAnsi="Arial" w:cs="Arial"/>
        <w:sz w:val="20"/>
        <w:szCs w:val="20"/>
        <w:lang w:val="en-US"/>
      </w:rPr>
      <w:t xml:space="preserve"> / International IDEA</w:t>
    </w:r>
    <w:r w:rsidRPr="00D17906">
      <w:rPr>
        <w:rFonts w:ascii="Arial" w:hAnsi="Arial" w:cs="Arial"/>
        <w:sz w:val="20"/>
        <w:szCs w:val="20"/>
        <w:lang w:val="en-US"/>
      </w:rPr>
      <w:t xml:space="preserve">, the National Democratic Institute (NDI), the United Nations Development </w:t>
    </w:r>
    <w:proofErr w:type="spellStart"/>
    <w:r w:rsidRPr="00D17906">
      <w:rPr>
        <w:rFonts w:ascii="Arial" w:hAnsi="Arial" w:cs="Arial"/>
        <w:sz w:val="20"/>
        <w:szCs w:val="20"/>
        <w:lang w:val="en-US"/>
      </w:rPr>
      <w:t>Programme</w:t>
    </w:r>
    <w:proofErr w:type="spellEnd"/>
    <w:r w:rsidRPr="00D17906">
      <w:rPr>
        <w:rFonts w:ascii="Arial" w:hAnsi="Arial" w:cs="Arial"/>
        <w:sz w:val="20"/>
        <w:szCs w:val="20"/>
        <w:lang w:val="en-US"/>
      </w:rPr>
      <w:t xml:space="preserve"> (UNDP), UN Women and the Westminster Foundation for Democracy (WFD). </w:t>
    </w:r>
  </w:p>
  <w:p w14:paraId="41690EEC" w14:textId="6F1F8D6B" w:rsidR="00293C5B" w:rsidRPr="00293C5B" w:rsidRDefault="00293C5B" w:rsidP="00293C5B">
    <w:pPr>
      <w:pStyle w:val="NormalWeb"/>
      <w:rPr>
        <w:rFonts w:ascii="Arial" w:hAnsi="Arial" w:cs="Arial"/>
        <w:sz w:val="20"/>
        <w:szCs w:val="20"/>
        <w:lang w:val="en-US"/>
      </w:rPr>
    </w:pPr>
    <w:r w:rsidRPr="000776D1">
      <w:rPr>
        <w:rFonts w:ascii="Arial" w:hAnsi="Arial" w:cs="Arial"/>
        <w:sz w:val="20"/>
        <w:szCs w:val="20"/>
        <w:lang w:val="en-US"/>
      </w:rPr>
      <w:t xml:space="preserve">The Indicators are published </w:t>
    </w:r>
    <w:r>
      <w:rPr>
        <w:rFonts w:ascii="Arial" w:hAnsi="Arial" w:cs="Arial"/>
        <w:sz w:val="20"/>
        <w:szCs w:val="20"/>
        <w:lang w:val="en-US"/>
      </w:rPr>
      <w:t xml:space="preserve">at </w:t>
    </w:r>
    <w:hyperlink r:id="rId1" w:history="1">
      <w:r w:rsidRPr="00F90F22">
        <w:rPr>
          <w:rStyle w:val="Hyperlink"/>
          <w:rFonts w:ascii="Arial" w:hAnsi="Arial" w:cs="Arial"/>
          <w:sz w:val="20"/>
          <w:szCs w:val="20"/>
          <w:lang w:val="en-US"/>
        </w:rPr>
        <w:t>www.parliamentaryindicators.org</w:t>
      </w:r>
    </w:hyperlink>
    <w:r>
      <w:rPr>
        <w:rFonts w:ascii="Arial" w:hAnsi="Arial" w:cs="Arial"/>
        <w:sz w:val="20"/>
        <w:szCs w:val="20"/>
        <w:lang w:val="en-US"/>
      </w:rPr>
      <w:t xml:space="preserve"> </w:t>
    </w:r>
    <w:r w:rsidRPr="000776D1">
      <w:rPr>
        <w:rFonts w:ascii="Arial" w:hAnsi="Arial" w:cs="Arial"/>
        <w:sz w:val="20"/>
        <w:szCs w:val="20"/>
        <w:lang w:val="en-US"/>
      </w:rPr>
      <w:t xml:space="preserve">under the Creative Commons license </w:t>
    </w:r>
    <w:hyperlink r:id="rId2" w:history="1">
      <w:r w:rsidRPr="000776D1">
        <w:rPr>
          <w:rStyle w:val="Hyperlink"/>
          <w:rFonts w:ascii="Arial" w:hAnsi="Arial" w:cs="Arial"/>
          <w:sz w:val="20"/>
          <w:szCs w:val="20"/>
          <w:lang w:val="en-US"/>
        </w:rPr>
        <w:t>CC BY-NC-SA 4.0</w:t>
      </w:r>
    </w:hyperlink>
    <w:r w:rsidRPr="000776D1">
      <w:rPr>
        <w:rFonts w:ascii="Arial" w:hAnsi="Arial" w:cs="Arial"/>
        <w:sz w:val="20"/>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53219" w14:textId="77777777" w:rsidR="00995108" w:rsidRDefault="00995108" w:rsidP="00E5613A">
      <w:pPr>
        <w:spacing w:line="240" w:lineRule="auto"/>
      </w:pPr>
      <w:r>
        <w:separator/>
      </w:r>
    </w:p>
  </w:footnote>
  <w:footnote w:type="continuationSeparator" w:id="0">
    <w:p w14:paraId="42DE4905" w14:textId="77777777" w:rsidR="00995108" w:rsidRDefault="00995108" w:rsidP="00E561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8160" w14:textId="77777777" w:rsidR="00293C5B" w:rsidRDefault="00293C5B" w:rsidP="00293C5B">
    <w:pPr>
      <w:pStyle w:val="Header"/>
      <w:rPr>
        <w:b/>
        <w:bCs/>
        <w:lang w:val="en-US"/>
      </w:rPr>
    </w:pPr>
    <w:r w:rsidRPr="000776D1">
      <w:rPr>
        <w:b/>
        <w:bCs/>
        <w:sz w:val="20"/>
        <w:szCs w:val="20"/>
        <w:lang w:val="en-US"/>
      </w:rPr>
      <w:t xml:space="preserve">Indicators for Democratic Parliaments </w:t>
    </w:r>
    <w:bookmarkStart w:id="27" w:name="_Hlk146872618"/>
    <w:r>
      <w:rPr>
        <w:b/>
        <w:bCs/>
        <w:sz w:val="20"/>
        <w:szCs w:val="20"/>
        <w:lang w:val="en-US"/>
      </w:rPr>
      <w:tab/>
    </w:r>
    <w:r>
      <w:rPr>
        <w:b/>
        <w:bCs/>
        <w:sz w:val="20"/>
        <w:szCs w:val="20"/>
        <w:lang w:val="en-US"/>
      </w:rPr>
      <w:tab/>
    </w:r>
    <w:r w:rsidRPr="000776D1">
      <w:rPr>
        <w:b/>
        <w:bCs/>
        <w:sz w:val="20"/>
        <w:szCs w:val="20"/>
        <w:lang w:val="en-US"/>
      </w:rPr>
      <w:t>www.parliamentaryindicators.org</w:t>
    </w:r>
    <w:bookmarkEnd w:id="27"/>
  </w:p>
  <w:p w14:paraId="37C43E21" w14:textId="77777777" w:rsidR="00293C5B" w:rsidRDefault="00293C5B" w:rsidP="00293C5B">
    <w:pPr>
      <w:pStyle w:val="Header"/>
      <w:rPr>
        <w:lang w:val="en-US"/>
      </w:rPr>
    </w:pPr>
    <w:r>
      <w:rPr>
        <w:sz w:val="20"/>
        <w:szCs w:val="20"/>
        <w:lang w:val="en-US"/>
      </w:rPr>
      <w:t>_________________________________________________________________________________</w:t>
    </w:r>
  </w:p>
  <w:p w14:paraId="3F2ADC74" w14:textId="3268968E" w:rsidR="00E5613A" w:rsidRPr="00293C5B" w:rsidRDefault="00E5613A" w:rsidP="00293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406D" w14:textId="77777777" w:rsidR="00293C5B" w:rsidRDefault="00293C5B" w:rsidP="00293C5B">
    <w:pPr>
      <w:pStyle w:val="Header"/>
    </w:pPr>
    <w:r>
      <w:rPr>
        <w:noProof/>
      </w:rPr>
      <w:drawing>
        <wp:inline distT="0" distB="0" distL="0" distR="0" wp14:anchorId="5199D88E" wp14:editId="16159455">
          <wp:extent cx="2361024" cy="723900"/>
          <wp:effectExtent l="0" t="0" r="1270" b="0"/>
          <wp:docPr id="707082049" name="Picture 707082049"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87404"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5585" cy="725298"/>
                  </a:xfrm>
                  <a:prstGeom prst="rect">
                    <a:avLst/>
                  </a:prstGeom>
                </pic:spPr>
              </pic:pic>
            </a:graphicData>
          </a:graphic>
        </wp:inline>
      </w:drawing>
    </w:r>
  </w:p>
  <w:p w14:paraId="42625669" w14:textId="77777777" w:rsidR="00293C5B" w:rsidRDefault="00293C5B" w:rsidP="00293C5B">
    <w:pPr>
      <w:pStyle w:val="Header"/>
    </w:pPr>
  </w:p>
  <w:p w14:paraId="2820F69E" w14:textId="77777777" w:rsidR="00293C5B" w:rsidRDefault="00293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F4A"/>
    <w:multiLevelType w:val="multilevel"/>
    <w:tmpl w:val="D0DE600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5984BA7"/>
    <w:multiLevelType w:val="multilevel"/>
    <w:tmpl w:val="0F9C520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B5200AA"/>
    <w:multiLevelType w:val="hybridMultilevel"/>
    <w:tmpl w:val="36EA2CFA"/>
    <w:lvl w:ilvl="0" w:tplc="FE5A54AC">
      <w:start w:val="1"/>
      <w:numFmt w:val="bullet"/>
      <w:pStyle w:val="ListParagraph"/>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4" w15:restartNumberingAfterBreak="0">
    <w:nsid w:val="4BBD4BE0"/>
    <w:multiLevelType w:val="multilevel"/>
    <w:tmpl w:val="4E3A8EA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4BDB4404"/>
    <w:multiLevelType w:val="multilevel"/>
    <w:tmpl w:val="1452038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55671EC7"/>
    <w:multiLevelType w:val="multilevel"/>
    <w:tmpl w:val="F9C0C11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58EB7D19"/>
    <w:multiLevelType w:val="multilevel"/>
    <w:tmpl w:val="0E00773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659961367">
    <w:abstractNumId w:val="6"/>
  </w:num>
  <w:num w:numId="2" w16cid:durableId="2014524670">
    <w:abstractNumId w:val="4"/>
  </w:num>
  <w:num w:numId="3" w16cid:durableId="1142502461">
    <w:abstractNumId w:val="0"/>
  </w:num>
  <w:num w:numId="4" w16cid:durableId="615260038">
    <w:abstractNumId w:val="5"/>
  </w:num>
  <w:num w:numId="5" w16cid:durableId="1882328169">
    <w:abstractNumId w:val="7"/>
  </w:num>
  <w:num w:numId="6" w16cid:durableId="2078436122">
    <w:abstractNumId w:val="1"/>
  </w:num>
  <w:num w:numId="7" w16cid:durableId="1506244217">
    <w:abstractNumId w:val="2"/>
  </w:num>
  <w:num w:numId="8" w16cid:durableId="425229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D4B"/>
    <w:rsid w:val="00030988"/>
    <w:rsid w:val="00035996"/>
    <w:rsid w:val="00043622"/>
    <w:rsid w:val="000513DC"/>
    <w:rsid w:val="00052903"/>
    <w:rsid w:val="0008027E"/>
    <w:rsid w:val="000900F8"/>
    <w:rsid w:val="000C48B3"/>
    <w:rsid w:val="000D4A94"/>
    <w:rsid w:val="00107039"/>
    <w:rsid w:val="00116830"/>
    <w:rsid w:val="0013193C"/>
    <w:rsid w:val="00133C87"/>
    <w:rsid w:val="00134177"/>
    <w:rsid w:val="00136C6E"/>
    <w:rsid w:val="00144710"/>
    <w:rsid w:val="00144D47"/>
    <w:rsid w:val="001546C4"/>
    <w:rsid w:val="00183507"/>
    <w:rsid w:val="00194709"/>
    <w:rsid w:val="001A68C3"/>
    <w:rsid w:val="001B50A7"/>
    <w:rsid w:val="001D4BB8"/>
    <w:rsid w:val="001E00F3"/>
    <w:rsid w:val="001E6296"/>
    <w:rsid w:val="001F3AEE"/>
    <w:rsid w:val="002016A3"/>
    <w:rsid w:val="00216F8A"/>
    <w:rsid w:val="00245289"/>
    <w:rsid w:val="00250335"/>
    <w:rsid w:val="00253F27"/>
    <w:rsid w:val="00255076"/>
    <w:rsid w:val="00293C5B"/>
    <w:rsid w:val="00294FC7"/>
    <w:rsid w:val="002D57EC"/>
    <w:rsid w:val="002F691B"/>
    <w:rsid w:val="003025AA"/>
    <w:rsid w:val="003160AD"/>
    <w:rsid w:val="00324600"/>
    <w:rsid w:val="003325D8"/>
    <w:rsid w:val="00340DE1"/>
    <w:rsid w:val="00357499"/>
    <w:rsid w:val="00380DC7"/>
    <w:rsid w:val="0038767E"/>
    <w:rsid w:val="003B619E"/>
    <w:rsid w:val="003D5A50"/>
    <w:rsid w:val="0043130B"/>
    <w:rsid w:val="00467442"/>
    <w:rsid w:val="004F7E18"/>
    <w:rsid w:val="0050541A"/>
    <w:rsid w:val="0052259E"/>
    <w:rsid w:val="0053548B"/>
    <w:rsid w:val="00554921"/>
    <w:rsid w:val="00583987"/>
    <w:rsid w:val="0058656E"/>
    <w:rsid w:val="005A4834"/>
    <w:rsid w:val="005C2D81"/>
    <w:rsid w:val="005C35C5"/>
    <w:rsid w:val="005E442F"/>
    <w:rsid w:val="005E6007"/>
    <w:rsid w:val="005E70FD"/>
    <w:rsid w:val="005E7FFA"/>
    <w:rsid w:val="00630C5C"/>
    <w:rsid w:val="00632471"/>
    <w:rsid w:val="0064207E"/>
    <w:rsid w:val="006A5C91"/>
    <w:rsid w:val="006C5BC5"/>
    <w:rsid w:val="006C7BCF"/>
    <w:rsid w:val="007104FF"/>
    <w:rsid w:val="007174A5"/>
    <w:rsid w:val="00761A22"/>
    <w:rsid w:val="00790D48"/>
    <w:rsid w:val="007A2F84"/>
    <w:rsid w:val="007A7D4B"/>
    <w:rsid w:val="007F1D02"/>
    <w:rsid w:val="007F2515"/>
    <w:rsid w:val="007F48AB"/>
    <w:rsid w:val="007F4AE3"/>
    <w:rsid w:val="00803F5D"/>
    <w:rsid w:val="008121B2"/>
    <w:rsid w:val="00832B67"/>
    <w:rsid w:val="00877354"/>
    <w:rsid w:val="008865ED"/>
    <w:rsid w:val="008A3B0E"/>
    <w:rsid w:val="00900C21"/>
    <w:rsid w:val="00902DFD"/>
    <w:rsid w:val="00906C62"/>
    <w:rsid w:val="00923A42"/>
    <w:rsid w:val="00962E40"/>
    <w:rsid w:val="00975D5A"/>
    <w:rsid w:val="00995108"/>
    <w:rsid w:val="009B3BCC"/>
    <w:rsid w:val="009F43B5"/>
    <w:rsid w:val="00A027F7"/>
    <w:rsid w:val="00A36CFF"/>
    <w:rsid w:val="00A5067B"/>
    <w:rsid w:val="00A6636B"/>
    <w:rsid w:val="00A85A09"/>
    <w:rsid w:val="00A901BF"/>
    <w:rsid w:val="00B114CF"/>
    <w:rsid w:val="00B117E1"/>
    <w:rsid w:val="00B216A9"/>
    <w:rsid w:val="00B341BB"/>
    <w:rsid w:val="00B4526C"/>
    <w:rsid w:val="00B47EB5"/>
    <w:rsid w:val="00B655B9"/>
    <w:rsid w:val="00B923F0"/>
    <w:rsid w:val="00BE1557"/>
    <w:rsid w:val="00BE21E3"/>
    <w:rsid w:val="00BE443B"/>
    <w:rsid w:val="00C06E13"/>
    <w:rsid w:val="00C2004B"/>
    <w:rsid w:val="00C41867"/>
    <w:rsid w:val="00C52A0A"/>
    <w:rsid w:val="00C52E7E"/>
    <w:rsid w:val="00C57477"/>
    <w:rsid w:val="00CA2205"/>
    <w:rsid w:val="00CE0C3B"/>
    <w:rsid w:val="00CF3E93"/>
    <w:rsid w:val="00D033EA"/>
    <w:rsid w:val="00D162A2"/>
    <w:rsid w:val="00D17A95"/>
    <w:rsid w:val="00D27FF8"/>
    <w:rsid w:val="00D401E6"/>
    <w:rsid w:val="00D560BF"/>
    <w:rsid w:val="00D955D7"/>
    <w:rsid w:val="00DC1111"/>
    <w:rsid w:val="00DC1D74"/>
    <w:rsid w:val="00DD0D19"/>
    <w:rsid w:val="00DD3196"/>
    <w:rsid w:val="00DE5BEC"/>
    <w:rsid w:val="00E164ED"/>
    <w:rsid w:val="00E21410"/>
    <w:rsid w:val="00E36917"/>
    <w:rsid w:val="00E46CD2"/>
    <w:rsid w:val="00E5613A"/>
    <w:rsid w:val="00E65B88"/>
    <w:rsid w:val="00E836A1"/>
    <w:rsid w:val="00E94AF5"/>
    <w:rsid w:val="00EA4368"/>
    <w:rsid w:val="00EA47CC"/>
    <w:rsid w:val="00ED4102"/>
    <w:rsid w:val="00EF13EB"/>
    <w:rsid w:val="00F23B3F"/>
    <w:rsid w:val="00F27BCE"/>
    <w:rsid w:val="00F34F7B"/>
    <w:rsid w:val="00F42A55"/>
    <w:rsid w:val="00F63176"/>
    <w:rsid w:val="00F9068F"/>
    <w:rsid w:val="00F97AD5"/>
    <w:rsid w:val="00FB6840"/>
    <w:rsid w:val="00FC5D5D"/>
    <w:rsid w:val="00FC697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1576C"/>
  <w15:docId w15:val="{0A9C223D-3F7D-47AF-8B53-F6C8E3DC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4368"/>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autoRedefine/>
    <w:qFormat/>
    <w:rsid w:val="00D560BF"/>
    <w:pPr>
      <w:keepNext/>
      <w:keepLines/>
      <w:pBdr>
        <w:top w:val="none" w:sz="0" w:space="0" w:color="000000"/>
        <w:left w:val="none" w:sz="0" w:space="0" w:color="000000"/>
        <w:bottom w:val="none" w:sz="0" w:space="0" w:color="000000"/>
        <w:right w:val="none" w:sz="0" w:space="0" w:color="000000"/>
        <w:between w:val="none" w:sz="0" w:space="0" w:color="000000"/>
      </w:pBdr>
      <w:spacing w:before="200" w:after="240" w:line="240" w:lineRule="auto"/>
      <w:outlineLvl w:val="1"/>
    </w:pPr>
    <w:rPr>
      <w:b/>
      <w:color w:val="00AABE"/>
      <w:sz w:val="28"/>
      <w:szCs w:val="28"/>
    </w:rPr>
  </w:style>
  <w:style w:type="paragraph" w:styleId="Heading3">
    <w:name w:val="heading 3"/>
    <w:basedOn w:val="Normal"/>
    <w:next w:val="Normal"/>
    <w:autoRedefine/>
    <w:qFormat/>
    <w:rsid w:val="005C2D81"/>
    <w:pPr>
      <w:keepNext/>
      <w:keepLines/>
      <w:pageBreakBefore/>
      <w:pBdr>
        <w:top w:val="none" w:sz="0" w:space="0" w:color="000000"/>
        <w:left w:val="none" w:sz="0" w:space="0" w:color="000000"/>
        <w:bottom w:val="none" w:sz="0" w:space="0" w:color="000000"/>
        <w:right w:val="none" w:sz="0" w:space="0" w:color="000000"/>
        <w:between w:val="none" w:sz="0" w:space="0" w:color="000000"/>
      </w:pBdr>
      <w:spacing w:before="120" w:after="200" w:line="240" w:lineRule="auto"/>
      <w:contextualSpacing/>
      <w:outlineLvl w:val="2"/>
    </w:pPr>
    <w:rPr>
      <w:b/>
      <w:color w:val="005F9A"/>
      <w:sz w:val="24"/>
      <w:szCs w:val="24"/>
    </w:rPr>
  </w:style>
  <w:style w:type="paragraph" w:styleId="Heading4">
    <w:name w:val="heading 4"/>
    <w:basedOn w:val="Normal"/>
    <w:next w:val="Normal"/>
    <w:autoRedefine/>
    <w:qFormat/>
    <w:rsid w:val="00136C6E"/>
    <w:pPr>
      <w:spacing w:before="200" w:after="120" w:line="240" w:lineRule="auto"/>
      <w:outlineLvl w:val="3"/>
    </w:pPr>
    <w:rPr>
      <w:rFonts w:eastAsia="Calibri"/>
      <w:b/>
      <w:sz w:val="20"/>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561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13A"/>
    <w:rPr>
      <w:rFonts w:ascii="Segoe UI" w:hAnsi="Segoe UI" w:cs="Segoe UI"/>
      <w:sz w:val="18"/>
      <w:szCs w:val="18"/>
    </w:rPr>
  </w:style>
  <w:style w:type="paragraph" w:styleId="Header">
    <w:name w:val="header"/>
    <w:basedOn w:val="Normal"/>
    <w:link w:val="HeaderChar"/>
    <w:uiPriority w:val="99"/>
    <w:unhideWhenUsed/>
    <w:rsid w:val="00E5613A"/>
    <w:pPr>
      <w:tabs>
        <w:tab w:val="center" w:pos="4513"/>
        <w:tab w:val="right" w:pos="9026"/>
      </w:tabs>
      <w:spacing w:line="240" w:lineRule="auto"/>
    </w:pPr>
  </w:style>
  <w:style w:type="character" w:customStyle="1" w:styleId="HeaderChar">
    <w:name w:val="Header Char"/>
    <w:basedOn w:val="DefaultParagraphFont"/>
    <w:link w:val="Header"/>
    <w:uiPriority w:val="99"/>
    <w:rsid w:val="00E5613A"/>
  </w:style>
  <w:style w:type="paragraph" w:styleId="Footer">
    <w:name w:val="footer"/>
    <w:basedOn w:val="Normal"/>
    <w:link w:val="FooterChar"/>
    <w:uiPriority w:val="99"/>
    <w:unhideWhenUsed/>
    <w:rsid w:val="00E5613A"/>
    <w:pPr>
      <w:tabs>
        <w:tab w:val="center" w:pos="4513"/>
        <w:tab w:val="right" w:pos="9026"/>
      </w:tabs>
      <w:spacing w:line="240" w:lineRule="auto"/>
    </w:pPr>
  </w:style>
  <w:style w:type="character" w:customStyle="1" w:styleId="FooterChar">
    <w:name w:val="Footer Char"/>
    <w:basedOn w:val="DefaultParagraphFont"/>
    <w:link w:val="Footer"/>
    <w:uiPriority w:val="99"/>
    <w:rsid w:val="00E5613A"/>
  </w:style>
  <w:style w:type="character" w:customStyle="1" w:styleId="section-titleChar">
    <w:name w:val="section-title Char"/>
    <w:basedOn w:val="DefaultParagraphFont"/>
    <w:link w:val="section-title"/>
    <w:locked/>
    <w:rsid w:val="00293C5B"/>
    <w:rPr>
      <w:b/>
      <w:lang w:eastAsia="fr-CH"/>
    </w:rPr>
  </w:style>
  <w:style w:type="paragraph" w:customStyle="1" w:styleId="section-title">
    <w:name w:val="section-title"/>
    <w:basedOn w:val="Normal"/>
    <w:link w:val="section-titleChar"/>
    <w:autoRedefine/>
    <w:qFormat/>
    <w:rsid w:val="00293C5B"/>
    <w:pPr>
      <w:keepNext/>
      <w:spacing w:before="200" w:after="200" w:line="240" w:lineRule="auto"/>
      <w:contextualSpacing/>
    </w:pPr>
    <w:rPr>
      <w:b/>
      <w:lang w:eastAsia="fr-CH"/>
    </w:rPr>
  </w:style>
  <w:style w:type="table" w:styleId="TableGrid">
    <w:name w:val="Table Grid"/>
    <w:basedOn w:val="TableNormal"/>
    <w:uiPriority w:val="39"/>
    <w:rsid w:val="00EA4368"/>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877354"/>
    <w:pPr>
      <w:numPr>
        <w:numId w:val="8"/>
      </w:numPr>
      <w:spacing w:line="240" w:lineRule="auto"/>
      <w:ind w:left="731"/>
      <w:contextualSpacing/>
    </w:pPr>
    <w:rPr>
      <w:rFonts w:eastAsia="Calibri" w:cs="Calibri"/>
      <w:sz w:val="20"/>
      <w:szCs w:val="20"/>
    </w:rPr>
  </w:style>
  <w:style w:type="paragraph" w:styleId="Revision">
    <w:name w:val="Revision"/>
    <w:hidden/>
    <w:uiPriority w:val="99"/>
    <w:semiHidden/>
    <w:rsid w:val="007174A5"/>
    <w:pPr>
      <w:spacing w:line="240" w:lineRule="auto"/>
    </w:pPr>
  </w:style>
  <w:style w:type="character" w:styleId="CommentReference">
    <w:name w:val="annotation reference"/>
    <w:basedOn w:val="DefaultParagraphFont"/>
    <w:uiPriority w:val="99"/>
    <w:semiHidden/>
    <w:unhideWhenUsed/>
    <w:rsid w:val="00116830"/>
    <w:rPr>
      <w:sz w:val="16"/>
      <w:szCs w:val="16"/>
    </w:rPr>
  </w:style>
  <w:style w:type="paragraph" w:styleId="CommentText">
    <w:name w:val="annotation text"/>
    <w:basedOn w:val="Normal"/>
    <w:link w:val="CommentTextChar"/>
    <w:uiPriority w:val="99"/>
    <w:unhideWhenUsed/>
    <w:rsid w:val="00116830"/>
    <w:pPr>
      <w:spacing w:line="240" w:lineRule="auto"/>
    </w:pPr>
    <w:rPr>
      <w:sz w:val="20"/>
      <w:szCs w:val="20"/>
    </w:rPr>
  </w:style>
  <w:style w:type="character" w:customStyle="1" w:styleId="CommentTextChar">
    <w:name w:val="Comment Text Char"/>
    <w:basedOn w:val="DefaultParagraphFont"/>
    <w:link w:val="CommentText"/>
    <w:uiPriority w:val="99"/>
    <w:rsid w:val="00116830"/>
    <w:rPr>
      <w:sz w:val="20"/>
      <w:szCs w:val="20"/>
    </w:rPr>
  </w:style>
  <w:style w:type="paragraph" w:styleId="CommentSubject">
    <w:name w:val="annotation subject"/>
    <w:basedOn w:val="CommentText"/>
    <w:next w:val="CommentText"/>
    <w:link w:val="CommentSubjectChar"/>
    <w:uiPriority w:val="99"/>
    <w:semiHidden/>
    <w:unhideWhenUsed/>
    <w:rsid w:val="00116830"/>
    <w:rPr>
      <w:b/>
      <w:bCs/>
    </w:rPr>
  </w:style>
  <w:style w:type="character" w:customStyle="1" w:styleId="CommentSubjectChar">
    <w:name w:val="Comment Subject Char"/>
    <w:basedOn w:val="CommentTextChar"/>
    <w:link w:val="CommentSubject"/>
    <w:uiPriority w:val="99"/>
    <w:semiHidden/>
    <w:rsid w:val="00116830"/>
    <w:rPr>
      <w:b/>
      <w:bCs/>
      <w:sz w:val="20"/>
      <w:szCs w:val="20"/>
    </w:rPr>
  </w:style>
  <w:style w:type="character" w:styleId="Hyperlink">
    <w:name w:val="Hyperlink"/>
    <w:basedOn w:val="DefaultParagraphFont"/>
    <w:uiPriority w:val="99"/>
    <w:unhideWhenUsed/>
    <w:rsid w:val="00293C5B"/>
    <w:rPr>
      <w:color w:val="0000FF" w:themeColor="hyperlink"/>
      <w:u w:val="single"/>
    </w:rPr>
  </w:style>
  <w:style w:type="paragraph" w:styleId="NormalWeb">
    <w:name w:val="Normal (Web)"/>
    <w:basedOn w:val="Normal"/>
    <w:uiPriority w:val="99"/>
    <w:unhideWhenUsed/>
    <w:rsid w:val="00293C5B"/>
    <w:pPr>
      <w:spacing w:before="100" w:beforeAutospacing="1" w:after="100" w:afterAutospacing="1" w:line="240" w:lineRule="auto"/>
    </w:pPr>
    <w:rPr>
      <w:rFonts w:ascii="Times New Roman" w:eastAsia="Times New Roman" w:hAnsi="Times New Roman" w:cs="Times New Roman"/>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29032">
      <w:bodyDiv w:val="1"/>
      <w:marLeft w:val="0"/>
      <w:marRight w:val="0"/>
      <w:marTop w:val="0"/>
      <w:marBottom w:val="0"/>
      <w:divBdr>
        <w:top w:val="none" w:sz="0" w:space="0" w:color="auto"/>
        <w:left w:val="none" w:sz="0" w:space="0" w:color="auto"/>
        <w:bottom w:val="none" w:sz="0" w:space="0" w:color="auto"/>
        <w:right w:val="none" w:sz="0" w:space="0" w:color="auto"/>
      </w:divBdr>
    </w:div>
    <w:div w:id="208541143">
      <w:bodyDiv w:val="1"/>
      <w:marLeft w:val="0"/>
      <w:marRight w:val="0"/>
      <w:marTop w:val="0"/>
      <w:marBottom w:val="0"/>
      <w:divBdr>
        <w:top w:val="none" w:sz="0" w:space="0" w:color="auto"/>
        <w:left w:val="none" w:sz="0" w:space="0" w:color="auto"/>
        <w:bottom w:val="none" w:sz="0" w:space="0" w:color="auto"/>
        <w:right w:val="none" w:sz="0" w:space="0" w:color="auto"/>
      </w:divBdr>
    </w:div>
    <w:div w:id="214318435">
      <w:bodyDiv w:val="1"/>
      <w:marLeft w:val="0"/>
      <w:marRight w:val="0"/>
      <w:marTop w:val="0"/>
      <w:marBottom w:val="0"/>
      <w:divBdr>
        <w:top w:val="none" w:sz="0" w:space="0" w:color="auto"/>
        <w:left w:val="none" w:sz="0" w:space="0" w:color="auto"/>
        <w:bottom w:val="none" w:sz="0" w:space="0" w:color="auto"/>
        <w:right w:val="none" w:sz="0" w:space="0" w:color="auto"/>
      </w:divBdr>
    </w:div>
    <w:div w:id="322322429">
      <w:bodyDiv w:val="1"/>
      <w:marLeft w:val="0"/>
      <w:marRight w:val="0"/>
      <w:marTop w:val="0"/>
      <w:marBottom w:val="0"/>
      <w:divBdr>
        <w:top w:val="none" w:sz="0" w:space="0" w:color="auto"/>
        <w:left w:val="none" w:sz="0" w:space="0" w:color="auto"/>
        <w:bottom w:val="none" w:sz="0" w:space="0" w:color="auto"/>
        <w:right w:val="none" w:sz="0" w:space="0" w:color="auto"/>
      </w:divBdr>
    </w:div>
    <w:div w:id="351418412">
      <w:bodyDiv w:val="1"/>
      <w:marLeft w:val="0"/>
      <w:marRight w:val="0"/>
      <w:marTop w:val="0"/>
      <w:marBottom w:val="0"/>
      <w:divBdr>
        <w:top w:val="none" w:sz="0" w:space="0" w:color="auto"/>
        <w:left w:val="none" w:sz="0" w:space="0" w:color="auto"/>
        <w:bottom w:val="none" w:sz="0" w:space="0" w:color="auto"/>
        <w:right w:val="none" w:sz="0" w:space="0" w:color="auto"/>
      </w:divBdr>
    </w:div>
    <w:div w:id="470564301">
      <w:bodyDiv w:val="1"/>
      <w:marLeft w:val="0"/>
      <w:marRight w:val="0"/>
      <w:marTop w:val="0"/>
      <w:marBottom w:val="0"/>
      <w:divBdr>
        <w:top w:val="none" w:sz="0" w:space="0" w:color="auto"/>
        <w:left w:val="none" w:sz="0" w:space="0" w:color="auto"/>
        <w:bottom w:val="none" w:sz="0" w:space="0" w:color="auto"/>
        <w:right w:val="none" w:sz="0" w:space="0" w:color="auto"/>
      </w:divBdr>
    </w:div>
    <w:div w:id="506988231">
      <w:bodyDiv w:val="1"/>
      <w:marLeft w:val="0"/>
      <w:marRight w:val="0"/>
      <w:marTop w:val="0"/>
      <w:marBottom w:val="0"/>
      <w:divBdr>
        <w:top w:val="none" w:sz="0" w:space="0" w:color="auto"/>
        <w:left w:val="none" w:sz="0" w:space="0" w:color="auto"/>
        <w:bottom w:val="none" w:sz="0" w:space="0" w:color="auto"/>
        <w:right w:val="none" w:sz="0" w:space="0" w:color="auto"/>
      </w:divBdr>
    </w:div>
    <w:div w:id="595986566">
      <w:bodyDiv w:val="1"/>
      <w:marLeft w:val="0"/>
      <w:marRight w:val="0"/>
      <w:marTop w:val="0"/>
      <w:marBottom w:val="0"/>
      <w:divBdr>
        <w:top w:val="none" w:sz="0" w:space="0" w:color="auto"/>
        <w:left w:val="none" w:sz="0" w:space="0" w:color="auto"/>
        <w:bottom w:val="none" w:sz="0" w:space="0" w:color="auto"/>
        <w:right w:val="none" w:sz="0" w:space="0" w:color="auto"/>
      </w:divBdr>
    </w:div>
    <w:div w:id="687561971">
      <w:bodyDiv w:val="1"/>
      <w:marLeft w:val="0"/>
      <w:marRight w:val="0"/>
      <w:marTop w:val="0"/>
      <w:marBottom w:val="0"/>
      <w:divBdr>
        <w:top w:val="none" w:sz="0" w:space="0" w:color="auto"/>
        <w:left w:val="none" w:sz="0" w:space="0" w:color="auto"/>
        <w:bottom w:val="none" w:sz="0" w:space="0" w:color="auto"/>
        <w:right w:val="none" w:sz="0" w:space="0" w:color="auto"/>
      </w:divBdr>
    </w:div>
    <w:div w:id="891421822">
      <w:bodyDiv w:val="1"/>
      <w:marLeft w:val="0"/>
      <w:marRight w:val="0"/>
      <w:marTop w:val="0"/>
      <w:marBottom w:val="0"/>
      <w:divBdr>
        <w:top w:val="none" w:sz="0" w:space="0" w:color="auto"/>
        <w:left w:val="none" w:sz="0" w:space="0" w:color="auto"/>
        <w:bottom w:val="none" w:sz="0" w:space="0" w:color="auto"/>
        <w:right w:val="none" w:sz="0" w:space="0" w:color="auto"/>
      </w:divBdr>
    </w:div>
    <w:div w:id="1038169200">
      <w:bodyDiv w:val="1"/>
      <w:marLeft w:val="0"/>
      <w:marRight w:val="0"/>
      <w:marTop w:val="0"/>
      <w:marBottom w:val="0"/>
      <w:divBdr>
        <w:top w:val="none" w:sz="0" w:space="0" w:color="auto"/>
        <w:left w:val="none" w:sz="0" w:space="0" w:color="auto"/>
        <w:bottom w:val="none" w:sz="0" w:space="0" w:color="auto"/>
        <w:right w:val="none" w:sz="0" w:space="0" w:color="auto"/>
      </w:divBdr>
    </w:div>
    <w:div w:id="1058474588">
      <w:bodyDiv w:val="1"/>
      <w:marLeft w:val="0"/>
      <w:marRight w:val="0"/>
      <w:marTop w:val="0"/>
      <w:marBottom w:val="0"/>
      <w:divBdr>
        <w:top w:val="none" w:sz="0" w:space="0" w:color="auto"/>
        <w:left w:val="none" w:sz="0" w:space="0" w:color="auto"/>
        <w:bottom w:val="none" w:sz="0" w:space="0" w:color="auto"/>
        <w:right w:val="none" w:sz="0" w:space="0" w:color="auto"/>
      </w:divBdr>
    </w:div>
    <w:div w:id="1252928146">
      <w:bodyDiv w:val="1"/>
      <w:marLeft w:val="0"/>
      <w:marRight w:val="0"/>
      <w:marTop w:val="0"/>
      <w:marBottom w:val="0"/>
      <w:divBdr>
        <w:top w:val="none" w:sz="0" w:space="0" w:color="auto"/>
        <w:left w:val="none" w:sz="0" w:space="0" w:color="auto"/>
        <w:bottom w:val="none" w:sz="0" w:space="0" w:color="auto"/>
        <w:right w:val="none" w:sz="0" w:space="0" w:color="auto"/>
      </w:divBdr>
    </w:div>
    <w:div w:id="1282959180">
      <w:bodyDiv w:val="1"/>
      <w:marLeft w:val="0"/>
      <w:marRight w:val="0"/>
      <w:marTop w:val="0"/>
      <w:marBottom w:val="0"/>
      <w:divBdr>
        <w:top w:val="none" w:sz="0" w:space="0" w:color="auto"/>
        <w:left w:val="none" w:sz="0" w:space="0" w:color="auto"/>
        <w:bottom w:val="none" w:sz="0" w:space="0" w:color="auto"/>
        <w:right w:val="none" w:sz="0" w:space="0" w:color="auto"/>
      </w:divBdr>
    </w:div>
    <w:div w:id="1299334572">
      <w:bodyDiv w:val="1"/>
      <w:marLeft w:val="0"/>
      <w:marRight w:val="0"/>
      <w:marTop w:val="0"/>
      <w:marBottom w:val="0"/>
      <w:divBdr>
        <w:top w:val="none" w:sz="0" w:space="0" w:color="auto"/>
        <w:left w:val="none" w:sz="0" w:space="0" w:color="auto"/>
        <w:bottom w:val="none" w:sz="0" w:space="0" w:color="auto"/>
        <w:right w:val="none" w:sz="0" w:space="0" w:color="auto"/>
      </w:divBdr>
    </w:div>
    <w:div w:id="1512376782">
      <w:bodyDiv w:val="1"/>
      <w:marLeft w:val="0"/>
      <w:marRight w:val="0"/>
      <w:marTop w:val="0"/>
      <w:marBottom w:val="0"/>
      <w:divBdr>
        <w:top w:val="none" w:sz="0" w:space="0" w:color="auto"/>
        <w:left w:val="none" w:sz="0" w:space="0" w:color="auto"/>
        <w:bottom w:val="none" w:sz="0" w:space="0" w:color="auto"/>
        <w:right w:val="none" w:sz="0" w:space="0" w:color="auto"/>
      </w:divBdr>
    </w:div>
    <w:div w:id="1717436706">
      <w:bodyDiv w:val="1"/>
      <w:marLeft w:val="0"/>
      <w:marRight w:val="0"/>
      <w:marTop w:val="0"/>
      <w:marBottom w:val="0"/>
      <w:divBdr>
        <w:top w:val="none" w:sz="0" w:space="0" w:color="auto"/>
        <w:left w:val="none" w:sz="0" w:space="0" w:color="auto"/>
        <w:bottom w:val="none" w:sz="0" w:space="0" w:color="auto"/>
        <w:right w:val="none" w:sz="0" w:space="0" w:color="auto"/>
      </w:divBdr>
    </w:div>
    <w:div w:id="1833594258">
      <w:bodyDiv w:val="1"/>
      <w:marLeft w:val="0"/>
      <w:marRight w:val="0"/>
      <w:marTop w:val="0"/>
      <w:marBottom w:val="0"/>
      <w:divBdr>
        <w:top w:val="none" w:sz="0" w:space="0" w:color="auto"/>
        <w:left w:val="none" w:sz="0" w:space="0" w:color="auto"/>
        <w:bottom w:val="none" w:sz="0" w:space="0" w:color="auto"/>
        <w:right w:val="none" w:sz="0" w:space="0" w:color="auto"/>
      </w:divBdr>
    </w:div>
    <w:div w:id="1915897846">
      <w:bodyDiv w:val="1"/>
      <w:marLeft w:val="0"/>
      <w:marRight w:val="0"/>
      <w:marTop w:val="0"/>
      <w:marBottom w:val="0"/>
      <w:divBdr>
        <w:top w:val="none" w:sz="0" w:space="0" w:color="auto"/>
        <w:left w:val="none" w:sz="0" w:space="0" w:color="auto"/>
        <w:bottom w:val="none" w:sz="0" w:space="0" w:color="auto"/>
        <w:right w:val="none" w:sz="0" w:space="0" w:color="auto"/>
      </w:divBdr>
    </w:div>
    <w:div w:id="1953592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ssuu.com/theparliamentarian/docs/recommended_benchmarks_for_democrat" TargetMode="External"/><Relationship Id="rId18" Type="http://schemas.openxmlformats.org/officeDocument/2006/relationships/hyperlink" Target="http://archive.ipu.org/PDF/publications/democracy_en.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di.org/sites/default/files/2113_gov_standards_010107_5.pdf" TargetMode="External"/><Relationship Id="rId7" Type="http://schemas.openxmlformats.org/officeDocument/2006/relationships/webSettings" Target="webSettings.xml"/><Relationship Id="rId12" Type="http://schemas.openxmlformats.org/officeDocument/2006/relationships/hyperlink" Target="http://archive.ipu.org/PDF/publications/democracy_en.pdf" TargetMode="External"/><Relationship Id="rId17" Type="http://schemas.openxmlformats.org/officeDocument/2006/relationships/hyperlink" Target="http://archive.ipu.org/PDF/publications/democracy_en.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archive.ipu.org/PDF/publications/democracy_en.pdf" TargetMode="External"/><Relationship Id="rId20" Type="http://schemas.openxmlformats.org/officeDocument/2006/relationships/hyperlink" Target="https://issuu.com/theparliamentarian/docs/recommended_benchmarks_for_democra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rchive.ipu.org/PDF/publications/democracy_en.pdf"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ndi.org/sites/default/files/2113_gov_standards_010107_5.pdf" TargetMode="External"/><Relationship Id="rId23" Type="http://schemas.openxmlformats.org/officeDocument/2006/relationships/footer" Target="footer1.xml"/><Relationship Id="rId10" Type="http://schemas.openxmlformats.org/officeDocument/2006/relationships/hyperlink" Target="http://archive.ipu.org/PDF/publications/democracy_en.pdf" TargetMode="External"/><Relationship Id="rId19" Type="http://schemas.openxmlformats.org/officeDocument/2006/relationships/hyperlink" Target="https://issuu.com/theparliamentarian/docs/recommended_benchmarks_for_democr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ssuu.com/theparliamentarian/docs/recommended_benchmarks_for_democrat"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756913-3312-4771-ABE7-CAD6F9441C5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8CAF6AC-AB44-47D3-B2BD-9F91F69EE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75A29D2-D378-40DC-B6F5-F5B202381C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2092</Words>
  <Characters>15464</Characters>
  <Application>Microsoft Office Word</Application>
  <DocSecurity>0</DocSecurity>
  <Lines>286</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Andy Richardson</cp:lastModifiedBy>
  <cp:revision>10</cp:revision>
  <cp:lastPrinted>2023-10-14T14:25:00Z</cp:lastPrinted>
  <dcterms:created xsi:type="dcterms:W3CDTF">2023-06-27T12:05:00Z</dcterms:created>
  <dcterms:modified xsi:type="dcterms:W3CDTF">2023-10-14T14:25:00Z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